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3A5D0">
      <w:pPr>
        <w:spacing w:line="360" w:lineRule="auto"/>
        <w:jc w:val="center"/>
        <w:rPr>
          <w:rFonts w:ascii="黑体" w:hAnsi="黑体" w:eastAsia="黑体" w:cs="黑体"/>
          <w:b/>
          <w:bCs/>
          <w:kern w:val="44"/>
          <w:sz w:val="52"/>
          <w:szCs w:val="52"/>
        </w:rPr>
      </w:pPr>
    </w:p>
    <w:p w14:paraId="6EB27248">
      <w:pPr>
        <w:spacing w:line="360" w:lineRule="auto"/>
        <w:jc w:val="center"/>
        <w:rPr>
          <w:rFonts w:ascii="黑体" w:hAnsi="黑体" w:eastAsia="黑体" w:cs="黑体"/>
          <w:b/>
          <w:bCs/>
          <w:kern w:val="44"/>
          <w:sz w:val="52"/>
          <w:szCs w:val="52"/>
        </w:rPr>
      </w:pPr>
    </w:p>
    <w:p w14:paraId="016FFEB2">
      <w:pPr>
        <w:spacing w:line="360" w:lineRule="auto"/>
        <w:jc w:val="center"/>
        <w:rPr>
          <w:rFonts w:ascii="黑体" w:hAnsi="黑体" w:eastAsia="黑体" w:cs="黑体"/>
          <w:b/>
          <w:bCs/>
          <w:kern w:val="44"/>
          <w:sz w:val="52"/>
          <w:szCs w:val="52"/>
        </w:rPr>
      </w:pPr>
    </w:p>
    <w:p w14:paraId="79E37088">
      <w:pPr>
        <w:spacing w:line="360" w:lineRule="auto"/>
        <w:jc w:val="center"/>
        <w:rPr>
          <w:rFonts w:ascii="黑体" w:hAnsi="黑体" w:eastAsia="黑体" w:cs="黑体"/>
          <w:b/>
          <w:bCs/>
          <w:kern w:val="44"/>
          <w:sz w:val="44"/>
          <w:szCs w:val="44"/>
        </w:rPr>
      </w:pPr>
      <w:r>
        <w:rPr>
          <w:rFonts w:ascii="黑体" w:hAnsi="黑体" w:eastAsia="黑体" w:cs="黑体"/>
          <w:b/>
          <w:bCs/>
          <w:kern w:val="44"/>
          <w:sz w:val="44"/>
          <w:szCs w:val="44"/>
        </w:rPr>
        <w:t>【】</w:t>
      </w:r>
      <w:r>
        <w:rPr>
          <w:rFonts w:hint="eastAsia" w:ascii="黑体" w:hAnsi="黑体" w:eastAsia="黑体" w:cs="黑体"/>
          <w:b/>
          <w:bCs/>
          <w:kern w:val="44"/>
          <w:sz w:val="44"/>
          <w:szCs w:val="44"/>
        </w:rPr>
        <w:t>股份有限公司</w:t>
      </w:r>
    </w:p>
    <w:p w14:paraId="52D9123B">
      <w:pPr>
        <w:spacing w:line="360" w:lineRule="auto"/>
        <w:jc w:val="center"/>
        <w:rPr>
          <w:rFonts w:ascii="黑体" w:hAnsi="黑体" w:eastAsia="黑体" w:cs="黑体"/>
          <w:b/>
          <w:bCs/>
          <w:kern w:val="44"/>
          <w:sz w:val="44"/>
          <w:szCs w:val="44"/>
        </w:rPr>
      </w:pPr>
    </w:p>
    <w:p w14:paraId="52A82162">
      <w:pPr>
        <w:spacing w:line="360" w:lineRule="auto"/>
        <w:jc w:val="center"/>
        <w:rPr>
          <w:rFonts w:ascii="黑体" w:hAnsi="黑体" w:eastAsia="黑体" w:cs="黑体"/>
          <w:b/>
          <w:bCs/>
          <w:kern w:val="44"/>
          <w:sz w:val="44"/>
          <w:szCs w:val="44"/>
        </w:rPr>
      </w:pPr>
    </w:p>
    <w:p w14:paraId="017C7B5A">
      <w:pPr>
        <w:spacing w:line="360" w:lineRule="auto"/>
        <w:jc w:val="center"/>
        <w:rPr>
          <w:rFonts w:ascii="黑体" w:hAnsi="黑体" w:eastAsia="黑体" w:cs="黑体"/>
          <w:b/>
          <w:bCs/>
          <w:kern w:val="44"/>
          <w:sz w:val="44"/>
          <w:szCs w:val="44"/>
        </w:rPr>
      </w:pPr>
    </w:p>
    <w:p w14:paraId="5D62F2DF">
      <w:pPr>
        <w:spacing w:line="360" w:lineRule="auto"/>
        <w:jc w:val="center"/>
        <w:rPr>
          <w:rFonts w:ascii="黑体" w:hAnsi="黑体" w:eastAsia="黑体" w:cs="黑体"/>
          <w:b/>
          <w:bCs/>
          <w:kern w:val="44"/>
          <w:sz w:val="44"/>
          <w:szCs w:val="44"/>
        </w:rPr>
      </w:pPr>
    </w:p>
    <w:p w14:paraId="085B8D7F">
      <w:pPr>
        <w:spacing w:line="360" w:lineRule="auto"/>
        <w:jc w:val="center"/>
        <w:rPr>
          <w:rFonts w:ascii="黑体" w:hAnsi="黑体" w:eastAsia="黑体" w:cs="Times New Roman"/>
          <w:b/>
          <w:bCs/>
          <w:kern w:val="44"/>
          <w:sz w:val="44"/>
          <w:szCs w:val="44"/>
        </w:rPr>
      </w:pPr>
      <w:r>
        <w:rPr>
          <w:rFonts w:hint="eastAsia" w:ascii="黑体" w:hAnsi="黑体" w:eastAsia="黑体" w:cs="黑体"/>
          <w:b/>
          <w:bCs/>
          <w:kern w:val="44"/>
          <w:sz w:val="44"/>
          <w:szCs w:val="44"/>
        </w:rPr>
        <w:t>章程</w:t>
      </w:r>
    </w:p>
    <w:p w14:paraId="031BB280">
      <w:pPr>
        <w:spacing w:line="360" w:lineRule="auto"/>
        <w:jc w:val="center"/>
        <w:rPr>
          <w:rFonts w:ascii="黑体" w:hAnsi="黑体" w:eastAsia="黑体" w:cs="黑体"/>
          <w:b/>
          <w:bCs/>
          <w:kern w:val="44"/>
          <w:sz w:val="52"/>
          <w:szCs w:val="52"/>
        </w:rPr>
      </w:pPr>
    </w:p>
    <w:p w14:paraId="17B5C036">
      <w:pPr>
        <w:spacing w:line="360" w:lineRule="auto"/>
        <w:jc w:val="center"/>
        <w:rPr>
          <w:rFonts w:ascii="黑体" w:hAnsi="黑体" w:eastAsia="黑体" w:cs="黑体"/>
          <w:b/>
          <w:bCs/>
          <w:kern w:val="44"/>
          <w:sz w:val="30"/>
          <w:szCs w:val="30"/>
        </w:rPr>
      </w:pPr>
    </w:p>
    <w:p w14:paraId="3D73CC17">
      <w:pPr>
        <w:spacing w:line="360" w:lineRule="auto"/>
        <w:jc w:val="center"/>
        <w:rPr>
          <w:rFonts w:ascii="黑体" w:hAnsi="黑体" w:eastAsia="黑体" w:cs="黑体"/>
          <w:b/>
          <w:bCs/>
          <w:kern w:val="44"/>
          <w:sz w:val="30"/>
          <w:szCs w:val="30"/>
        </w:rPr>
      </w:pPr>
    </w:p>
    <w:p w14:paraId="4E56246B">
      <w:pPr>
        <w:spacing w:line="360" w:lineRule="auto"/>
        <w:jc w:val="center"/>
        <w:rPr>
          <w:rFonts w:ascii="黑体" w:hAnsi="黑体" w:eastAsia="黑体" w:cs="黑体"/>
          <w:b/>
          <w:bCs/>
          <w:kern w:val="44"/>
          <w:sz w:val="30"/>
          <w:szCs w:val="30"/>
        </w:rPr>
      </w:pPr>
    </w:p>
    <w:p w14:paraId="3F94C830">
      <w:pPr>
        <w:spacing w:line="360" w:lineRule="auto"/>
        <w:jc w:val="center"/>
        <w:rPr>
          <w:rFonts w:ascii="黑体" w:hAnsi="黑体" w:eastAsia="黑体" w:cs="黑体"/>
          <w:b/>
          <w:bCs/>
          <w:kern w:val="44"/>
          <w:sz w:val="30"/>
          <w:szCs w:val="30"/>
        </w:rPr>
      </w:pPr>
    </w:p>
    <w:p w14:paraId="5C352CEC">
      <w:pPr>
        <w:spacing w:line="360" w:lineRule="auto"/>
        <w:jc w:val="center"/>
        <w:rPr>
          <w:rFonts w:ascii="黑体" w:hAnsi="黑体" w:eastAsia="黑体" w:cs="黑体"/>
          <w:b/>
          <w:bCs/>
          <w:kern w:val="44"/>
          <w:sz w:val="30"/>
          <w:szCs w:val="30"/>
        </w:rPr>
      </w:pPr>
    </w:p>
    <w:p w14:paraId="15FFF4AE">
      <w:pPr>
        <w:spacing w:line="360" w:lineRule="auto"/>
        <w:jc w:val="center"/>
        <w:rPr>
          <w:rFonts w:ascii="黑体" w:hAnsi="黑体" w:eastAsia="黑体" w:cs="黑体"/>
          <w:b/>
          <w:bCs/>
          <w:kern w:val="44"/>
          <w:sz w:val="30"/>
          <w:szCs w:val="30"/>
        </w:rPr>
      </w:pPr>
    </w:p>
    <w:p w14:paraId="69E3F4D6">
      <w:pPr>
        <w:spacing w:line="360" w:lineRule="auto"/>
        <w:jc w:val="center"/>
        <w:rPr>
          <w:rFonts w:ascii="黑体" w:hAnsi="黑体" w:eastAsia="黑体" w:cs="黑体"/>
          <w:b/>
          <w:bCs/>
          <w:kern w:val="44"/>
          <w:sz w:val="30"/>
          <w:szCs w:val="30"/>
        </w:rPr>
      </w:pPr>
      <w:r>
        <w:rPr>
          <w:rFonts w:ascii="黑体" w:hAnsi="黑体" w:eastAsia="黑体" w:cs="黑体"/>
          <w:b/>
          <w:bCs/>
          <w:kern w:val="44"/>
          <w:sz w:val="30"/>
          <w:szCs w:val="30"/>
        </w:rPr>
        <w:t>【】</w:t>
      </w:r>
      <w:r>
        <w:rPr>
          <w:rFonts w:hint="eastAsia" w:ascii="黑体" w:hAnsi="黑体" w:eastAsia="黑体" w:cs="黑体"/>
          <w:b/>
          <w:bCs/>
          <w:kern w:val="44"/>
          <w:sz w:val="30"/>
          <w:szCs w:val="30"/>
        </w:rPr>
        <w:t>年</w:t>
      </w:r>
      <w:r>
        <w:rPr>
          <w:rFonts w:ascii="黑体" w:hAnsi="黑体" w:eastAsia="黑体" w:cs="黑体"/>
          <w:b/>
          <w:bCs/>
          <w:kern w:val="44"/>
          <w:sz w:val="30"/>
          <w:szCs w:val="30"/>
        </w:rPr>
        <w:t>【】</w:t>
      </w:r>
      <w:r>
        <w:rPr>
          <w:rFonts w:hint="eastAsia" w:ascii="黑体" w:hAnsi="黑体" w:eastAsia="黑体" w:cs="黑体"/>
          <w:b/>
          <w:bCs/>
          <w:kern w:val="44"/>
          <w:sz w:val="30"/>
          <w:szCs w:val="30"/>
        </w:rPr>
        <w:t>月</w:t>
      </w:r>
    </w:p>
    <w:p w14:paraId="5FEAF7E6">
      <w:pPr>
        <w:spacing w:line="360" w:lineRule="auto"/>
        <w:jc w:val="center"/>
        <w:rPr>
          <w:rFonts w:ascii="黑体" w:hAnsi="黑体" w:eastAsia="黑体" w:cs="黑体"/>
          <w:b/>
          <w:bCs/>
          <w:kern w:val="44"/>
          <w:sz w:val="30"/>
          <w:szCs w:val="30"/>
        </w:rPr>
      </w:pPr>
    </w:p>
    <w:p w14:paraId="716668E4">
      <w:pPr>
        <w:spacing w:line="360" w:lineRule="auto"/>
        <w:jc w:val="center"/>
        <w:rPr>
          <w:rFonts w:ascii="黑体" w:hAnsi="黑体" w:eastAsia="黑体" w:cs="黑体"/>
          <w:b/>
          <w:bCs/>
          <w:kern w:val="44"/>
          <w:sz w:val="30"/>
          <w:szCs w:val="30"/>
        </w:rPr>
      </w:pPr>
    </w:p>
    <w:p w14:paraId="3B4E24B2">
      <w:pPr>
        <w:spacing w:line="360" w:lineRule="auto"/>
        <w:jc w:val="center"/>
        <w:rPr>
          <w:rFonts w:ascii="黑体" w:hAnsi="黑体" w:eastAsia="黑体" w:cs="黑体"/>
          <w:b/>
          <w:bCs/>
          <w:kern w:val="44"/>
          <w:sz w:val="30"/>
          <w:szCs w:val="30"/>
        </w:rPr>
      </w:pPr>
      <w:bookmarkStart w:id="172" w:name="_GoBack"/>
      <w:bookmarkEnd w:id="172"/>
    </w:p>
    <w:p w14:paraId="6D05C58B">
      <w:pPr>
        <w:spacing w:line="360" w:lineRule="auto"/>
        <w:jc w:val="center"/>
        <w:rPr>
          <w:rFonts w:ascii="宋体" w:cs="黑体"/>
          <w:b/>
          <w:bCs/>
          <w:kern w:val="44"/>
          <w:sz w:val="30"/>
          <w:szCs w:val="30"/>
        </w:rPr>
      </w:pPr>
      <w:r>
        <w:rPr>
          <w:rFonts w:ascii="宋体" w:cs="黑体"/>
          <w:b/>
          <w:bCs/>
          <w:kern w:val="44"/>
          <w:sz w:val="30"/>
          <w:szCs w:val="30"/>
        </w:rPr>
        <w:t>【】股份</w:t>
      </w:r>
      <w:r>
        <w:rPr>
          <w:rFonts w:hint="eastAsia" w:ascii="宋体" w:cs="黑体"/>
          <w:b/>
          <w:bCs/>
          <w:kern w:val="44"/>
          <w:sz w:val="30"/>
          <w:szCs w:val="30"/>
        </w:rPr>
        <w:t>有限公司</w:t>
      </w:r>
    </w:p>
    <w:p w14:paraId="67D316A1">
      <w:pPr>
        <w:spacing w:line="360" w:lineRule="auto"/>
        <w:jc w:val="center"/>
        <w:rPr>
          <w:rFonts w:ascii="宋体" w:cs="黑体"/>
          <w:b/>
          <w:bCs/>
          <w:kern w:val="44"/>
          <w:sz w:val="30"/>
          <w:szCs w:val="30"/>
        </w:rPr>
      </w:pPr>
      <w:r>
        <w:rPr>
          <w:rFonts w:hint="eastAsia" w:ascii="宋体" w:hAnsi="宋体" w:cs="黑体"/>
          <w:b/>
          <w:bCs/>
          <w:kern w:val="44"/>
          <w:sz w:val="30"/>
          <w:szCs w:val="30"/>
        </w:rPr>
        <w:t>章程</w:t>
      </w:r>
    </w:p>
    <w:p w14:paraId="7F72E8F0">
      <w:pPr>
        <w:spacing w:line="360" w:lineRule="auto"/>
        <w:rPr>
          <w:rFonts w:ascii="黑体" w:hAnsi="黑体" w:eastAsia="黑体" w:cs="黑体"/>
          <w:b/>
          <w:bCs/>
          <w:kern w:val="44"/>
          <w:sz w:val="30"/>
          <w:szCs w:val="30"/>
        </w:rPr>
      </w:pPr>
    </w:p>
    <w:p w14:paraId="1D18D6C0">
      <w:pPr>
        <w:spacing w:line="360" w:lineRule="auto"/>
        <w:jc w:val="center"/>
        <w:rPr>
          <w:rFonts w:ascii="宋体" w:cs="黑体"/>
          <w:b/>
          <w:bCs/>
          <w:kern w:val="44"/>
          <w:sz w:val="24"/>
          <w:szCs w:val="24"/>
        </w:rPr>
      </w:pPr>
      <w:r>
        <w:rPr>
          <w:rFonts w:hint="eastAsia" w:ascii="宋体" w:hAnsi="宋体" w:cs="黑体"/>
          <w:b/>
          <w:bCs/>
          <w:kern w:val="44"/>
          <w:sz w:val="24"/>
          <w:szCs w:val="24"/>
        </w:rPr>
        <w:t>目   录</w:t>
      </w:r>
    </w:p>
    <w:p w14:paraId="30C9530F">
      <w:pPr>
        <w:pStyle w:val="15"/>
        <w:rPr>
          <w:rFonts w:asciiTheme="minorHAnsi" w:hAnsiTheme="minorHAnsi" w:cstheme="minorBidi"/>
          <w:bCs w:val="0"/>
          <w:szCs w:val="22"/>
        </w:rPr>
      </w:pPr>
      <w:r>
        <w:rPr>
          <w:rFonts w:cs="黑体"/>
          <w:b/>
          <w:color w:val="000000" w:themeColor="text1"/>
          <w:kern w:val="44"/>
          <w:szCs w:val="30"/>
        </w:rPr>
        <w:fldChar w:fldCharType="begin"/>
      </w:r>
      <w:r>
        <w:rPr>
          <w:rFonts w:cs="黑体"/>
          <w:b/>
          <w:color w:val="000000" w:themeColor="text1"/>
          <w:kern w:val="44"/>
          <w:szCs w:val="30"/>
        </w:rPr>
        <w:instrText xml:space="preserve"> TOC \o "1-3" \h \z \u </w:instrText>
      </w:r>
      <w:r>
        <w:rPr>
          <w:rFonts w:cs="黑体"/>
          <w:b/>
          <w:color w:val="000000" w:themeColor="text1"/>
          <w:kern w:val="44"/>
          <w:szCs w:val="30"/>
        </w:rPr>
        <w:fldChar w:fldCharType="separate"/>
      </w:r>
      <w:r>
        <w:fldChar w:fldCharType="begin"/>
      </w:r>
      <w:r>
        <w:instrText xml:space="preserve"> HYPERLINK \l "_Toc425712696" </w:instrText>
      </w:r>
      <w:r>
        <w:fldChar w:fldCharType="separate"/>
      </w:r>
      <w:r>
        <w:rPr>
          <w:rStyle w:val="26"/>
          <w:rFonts w:hint="eastAsia" w:cs="宋体"/>
        </w:rPr>
        <w:t>第一章</w:t>
      </w:r>
      <w:r>
        <w:rPr>
          <w:rStyle w:val="26"/>
          <w:rFonts w:cs="宋体"/>
        </w:rPr>
        <w:t xml:space="preserve">   </w:t>
      </w:r>
      <w:r>
        <w:rPr>
          <w:rStyle w:val="26"/>
          <w:rFonts w:hint="eastAsia" w:cs="宋体"/>
        </w:rPr>
        <w:t>总</w:t>
      </w:r>
      <w:r>
        <w:rPr>
          <w:rStyle w:val="26"/>
          <w:rFonts w:cs="宋体"/>
        </w:rPr>
        <w:t xml:space="preserve">  </w:t>
      </w:r>
      <w:r>
        <w:rPr>
          <w:rStyle w:val="26"/>
          <w:rFonts w:hint="eastAsia" w:cs="宋体"/>
        </w:rPr>
        <w:t>则</w:t>
      </w:r>
      <w:r>
        <w:tab/>
      </w:r>
      <w:r>
        <w:fldChar w:fldCharType="begin"/>
      </w:r>
      <w:r>
        <w:instrText xml:space="preserve"> PAGEREF _Toc425712696 \h </w:instrText>
      </w:r>
      <w:r>
        <w:fldChar w:fldCharType="separate"/>
      </w:r>
      <w:r>
        <w:t>1</w:t>
      </w:r>
      <w:r>
        <w:fldChar w:fldCharType="end"/>
      </w:r>
      <w:r>
        <w:fldChar w:fldCharType="end"/>
      </w:r>
    </w:p>
    <w:p w14:paraId="49E1E0FD">
      <w:pPr>
        <w:pStyle w:val="15"/>
        <w:rPr>
          <w:rFonts w:asciiTheme="minorHAnsi" w:hAnsiTheme="minorHAnsi" w:cstheme="minorBidi"/>
          <w:bCs w:val="0"/>
          <w:szCs w:val="22"/>
        </w:rPr>
      </w:pPr>
      <w:r>
        <w:fldChar w:fldCharType="begin"/>
      </w:r>
      <w:r>
        <w:instrText xml:space="preserve"> HYPERLINK \l "_Toc425712697" </w:instrText>
      </w:r>
      <w:r>
        <w:fldChar w:fldCharType="separate"/>
      </w:r>
      <w:r>
        <w:rPr>
          <w:rStyle w:val="26"/>
          <w:rFonts w:hint="eastAsia" w:cs="宋体"/>
        </w:rPr>
        <w:t>第二章</w:t>
      </w:r>
      <w:r>
        <w:rPr>
          <w:rStyle w:val="26"/>
          <w:rFonts w:cs="宋体"/>
        </w:rPr>
        <w:t xml:space="preserve">   </w:t>
      </w:r>
      <w:r>
        <w:rPr>
          <w:rStyle w:val="26"/>
          <w:rFonts w:hint="eastAsia" w:cs="宋体"/>
        </w:rPr>
        <w:t>经营宗旨和经营范围</w:t>
      </w:r>
      <w:r>
        <w:tab/>
      </w:r>
      <w:r>
        <w:fldChar w:fldCharType="begin"/>
      </w:r>
      <w:r>
        <w:instrText xml:space="preserve"> PAGEREF _Toc425712697 \h </w:instrText>
      </w:r>
      <w:r>
        <w:fldChar w:fldCharType="separate"/>
      </w:r>
      <w:r>
        <w:t>1</w:t>
      </w:r>
      <w:r>
        <w:fldChar w:fldCharType="end"/>
      </w:r>
      <w:r>
        <w:fldChar w:fldCharType="end"/>
      </w:r>
    </w:p>
    <w:p w14:paraId="3B9E6157">
      <w:pPr>
        <w:pStyle w:val="15"/>
        <w:rPr>
          <w:rFonts w:asciiTheme="minorHAnsi" w:hAnsiTheme="minorHAnsi" w:cstheme="minorBidi"/>
          <w:bCs w:val="0"/>
          <w:szCs w:val="22"/>
        </w:rPr>
      </w:pPr>
      <w:r>
        <w:fldChar w:fldCharType="begin"/>
      </w:r>
      <w:r>
        <w:instrText xml:space="preserve"> HYPERLINK \l "_Toc425712698" </w:instrText>
      </w:r>
      <w:r>
        <w:fldChar w:fldCharType="separate"/>
      </w:r>
      <w:r>
        <w:rPr>
          <w:rStyle w:val="26"/>
          <w:rFonts w:hint="eastAsia" w:cs="宋体"/>
        </w:rPr>
        <w:t>第三章</w:t>
      </w:r>
      <w:r>
        <w:rPr>
          <w:rStyle w:val="26"/>
          <w:rFonts w:cs="宋体"/>
        </w:rPr>
        <w:t xml:space="preserve">   </w:t>
      </w:r>
      <w:r>
        <w:rPr>
          <w:rStyle w:val="26"/>
          <w:rFonts w:hint="eastAsia" w:cs="宋体"/>
        </w:rPr>
        <w:t>股</w:t>
      </w:r>
      <w:r>
        <w:rPr>
          <w:rStyle w:val="26"/>
          <w:rFonts w:cs="宋体"/>
        </w:rPr>
        <w:t xml:space="preserve">  </w:t>
      </w:r>
      <w:r>
        <w:rPr>
          <w:rStyle w:val="26"/>
          <w:rFonts w:hint="eastAsia" w:cs="宋体"/>
        </w:rPr>
        <w:t>份</w:t>
      </w:r>
      <w:r>
        <w:tab/>
      </w:r>
      <w:r>
        <w:fldChar w:fldCharType="begin"/>
      </w:r>
      <w:r>
        <w:instrText xml:space="preserve"> PAGEREF _Toc425712698 \h </w:instrText>
      </w:r>
      <w:r>
        <w:fldChar w:fldCharType="separate"/>
      </w:r>
      <w:r>
        <w:t>2</w:t>
      </w:r>
      <w:r>
        <w:fldChar w:fldCharType="end"/>
      </w:r>
      <w:r>
        <w:fldChar w:fldCharType="end"/>
      </w:r>
    </w:p>
    <w:p w14:paraId="3B010511">
      <w:pPr>
        <w:pStyle w:val="17"/>
        <w:rPr>
          <w:rFonts w:eastAsia="宋体" w:asciiTheme="minorHAnsi" w:hAnsiTheme="minorHAnsi" w:cstheme="minorBidi"/>
          <w:sz w:val="24"/>
          <w:szCs w:val="22"/>
        </w:rPr>
      </w:pPr>
      <w:r>
        <w:fldChar w:fldCharType="begin"/>
      </w:r>
      <w:r>
        <w:instrText xml:space="preserve"> HYPERLINK \l "_Toc425712699" </w:instrText>
      </w:r>
      <w:r>
        <w:fldChar w:fldCharType="separate"/>
      </w:r>
      <w:r>
        <w:rPr>
          <w:rStyle w:val="26"/>
          <w:rFonts w:hint="eastAsia" w:eastAsia="宋体" w:cs="宋体"/>
          <w:sz w:val="24"/>
        </w:rPr>
        <w:t>第一节</w:t>
      </w:r>
      <w:r>
        <w:rPr>
          <w:rStyle w:val="26"/>
          <w:rFonts w:eastAsia="宋体" w:cs="宋体"/>
          <w:sz w:val="24"/>
        </w:rPr>
        <w:t xml:space="preserve">  </w:t>
      </w:r>
      <w:r>
        <w:rPr>
          <w:rStyle w:val="26"/>
          <w:rFonts w:hint="eastAsia" w:eastAsia="宋体" w:cs="宋体"/>
          <w:sz w:val="24"/>
        </w:rPr>
        <w:t>股份发行</w:t>
      </w:r>
      <w:r>
        <w:rPr>
          <w:rFonts w:eastAsia="宋体"/>
          <w:sz w:val="24"/>
        </w:rPr>
        <w:tab/>
      </w:r>
      <w:r>
        <w:rPr>
          <w:rFonts w:eastAsia="宋体"/>
          <w:sz w:val="24"/>
        </w:rPr>
        <w:fldChar w:fldCharType="begin"/>
      </w:r>
      <w:r>
        <w:rPr>
          <w:rFonts w:eastAsia="宋体"/>
          <w:sz w:val="24"/>
        </w:rPr>
        <w:instrText xml:space="preserve"> PAGEREF _Toc425712699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14:paraId="66979F9A">
      <w:pPr>
        <w:pStyle w:val="17"/>
        <w:rPr>
          <w:rFonts w:eastAsia="宋体" w:asciiTheme="minorHAnsi" w:hAnsiTheme="minorHAnsi" w:cstheme="minorBidi"/>
          <w:sz w:val="24"/>
          <w:szCs w:val="22"/>
        </w:rPr>
      </w:pPr>
      <w:r>
        <w:fldChar w:fldCharType="begin"/>
      </w:r>
      <w:r>
        <w:instrText xml:space="preserve"> HYPERLINK \l "_Toc425712700" </w:instrText>
      </w:r>
      <w:r>
        <w:fldChar w:fldCharType="separate"/>
      </w:r>
      <w:r>
        <w:rPr>
          <w:rStyle w:val="26"/>
          <w:rFonts w:hint="eastAsia" w:eastAsia="宋体" w:cs="宋体"/>
          <w:sz w:val="24"/>
        </w:rPr>
        <w:t>第二节</w:t>
      </w:r>
      <w:r>
        <w:rPr>
          <w:rStyle w:val="26"/>
          <w:rFonts w:eastAsia="宋体" w:cs="宋体"/>
          <w:sz w:val="24"/>
        </w:rPr>
        <w:t xml:space="preserve">  </w:t>
      </w:r>
      <w:r>
        <w:rPr>
          <w:rStyle w:val="26"/>
          <w:rFonts w:hint="eastAsia" w:eastAsia="宋体" w:cs="宋体"/>
          <w:sz w:val="24"/>
        </w:rPr>
        <w:t>股份增减和回购</w:t>
      </w:r>
      <w:r>
        <w:rPr>
          <w:rFonts w:eastAsia="宋体"/>
          <w:sz w:val="24"/>
        </w:rPr>
        <w:tab/>
      </w:r>
      <w:r>
        <w:rPr>
          <w:rFonts w:eastAsia="宋体"/>
          <w:sz w:val="24"/>
        </w:rPr>
        <w:fldChar w:fldCharType="begin"/>
      </w:r>
      <w:r>
        <w:rPr>
          <w:rFonts w:eastAsia="宋体"/>
          <w:sz w:val="24"/>
        </w:rPr>
        <w:instrText xml:space="preserve"> PAGEREF _Toc425712700 \h </w:instrText>
      </w:r>
      <w:r>
        <w:rPr>
          <w:rFonts w:eastAsia="宋体"/>
          <w:sz w:val="24"/>
        </w:rPr>
        <w:fldChar w:fldCharType="separate"/>
      </w:r>
      <w:r>
        <w:rPr>
          <w:rFonts w:eastAsia="宋体"/>
          <w:sz w:val="24"/>
        </w:rPr>
        <w:t>2</w:t>
      </w:r>
      <w:r>
        <w:rPr>
          <w:rFonts w:eastAsia="宋体"/>
          <w:sz w:val="24"/>
        </w:rPr>
        <w:fldChar w:fldCharType="end"/>
      </w:r>
      <w:r>
        <w:rPr>
          <w:rFonts w:eastAsia="宋体"/>
          <w:sz w:val="24"/>
        </w:rPr>
        <w:fldChar w:fldCharType="end"/>
      </w:r>
    </w:p>
    <w:p w14:paraId="542CD6CF">
      <w:pPr>
        <w:pStyle w:val="17"/>
        <w:rPr>
          <w:rFonts w:eastAsia="宋体" w:asciiTheme="minorHAnsi" w:hAnsiTheme="minorHAnsi" w:cstheme="minorBidi"/>
          <w:sz w:val="24"/>
          <w:szCs w:val="22"/>
        </w:rPr>
      </w:pPr>
      <w:r>
        <w:fldChar w:fldCharType="begin"/>
      </w:r>
      <w:r>
        <w:instrText xml:space="preserve"> HYPERLINK \l "_Toc425712701" </w:instrText>
      </w:r>
      <w:r>
        <w:fldChar w:fldCharType="separate"/>
      </w:r>
      <w:r>
        <w:rPr>
          <w:rStyle w:val="26"/>
          <w:rFonts w:hint="eastAsia" w:eastAsia="宋体" w:cs="宋体"/>
          <w:sz w:val="24"/>
        </w:rPr>
        <w:t>第三节</w:t>
      </w:r>
      <w:r>
        <w:rPr>
          <w:rStyle w:val="26"/>
          <w:rFonts w:eastAsia="宋体" w:cs="宋体"/>
          <w:sz w:val="24"/>
        </w:rPr>
        <w:t xml:space="preserve">  </w:t>
      </w:r>
      <w:r>
        <w:rPr>
          <w:rStyle w:val="26"/>
          <w:rFonts w:hint="eastAsia" w:eastAsia="宋体" w:cs="宋体"/>
          <w:sz w:val="24"/>
        </w:rPr>
        <w:t>股份转让</w:t>
      </w:r>
      <w:r>
        <w:rPr>
          <w:rFonts w:eastAsia="宋体"/>
          <w:sz w:val="24"/>
        </w:rPr>
        <w:tab/>
      </w:r>
      <w:r>
        <w:rPr>
          <w:rFonts w:eastAsia="宋体"/>
          <w:sz w:val="24"/>
        </w:rPr>
        <w:fldChar w:fldCharType="begin"/>
      </w:r>
      <w:r>
        <w:rPr>
          <w:rFonts w:eastAsia="宋体"/>
          <w:sz w:val="24"/>
        </w:rPr>
        <w:instrText xml:space="preserve"> PAGEREF _Toc425712701 \h </w:instrText>
      </w:r>
      <w:r>
        <w:rPr>
          <w:rFonts w:eastAsia="宋体"/>
          <w:sz w:val="24"/>
        </w:rPr>
        <w:fldChar w:fldCharType="separate"/>
      </w:r>
      <w:r>
        <w:rPr>
          <w:rFonts w:eastAsia="宋体"/>
          <w:sz w:val="24"/>
        </w:rPr>
        <w:t>3</w:t>
      </w:r>
      <w:r>
        <w:rPr>
          <w:rFonts w:eastAsia="宋体"/>
          <w:sz w:val="24"/>
        </w:rPr>
        <w:fldChar w:fldCharType="end"/>
      </w:r>
      <w:r>
        <w:rPr>
          <w:rFonts w:eastAsia="宋体"/>
          <w:sz w:val="24"/>
        </w:rPr>
        <w:fldChar w:fldCharType="end"/>
      </w:r>
    </w:p>
    <w:p w14:paraId="719917F3">
      <w:pPr>
        <w:pStyle w:val="15"/>
        <w:rPr>
          <w:rFonts w:asciiTheme="minorHAnsi" w:hAnsiTheme="minorHAnsi" w:cstheme="minorBidi"/>
          <w:bCs w:val="0"/>
          <w:szCs w:val="22"/>
        </w:rPr>
      </w:pPr>
      <w:r>
        <w:fldChar w:fldCharType="begin"/>
      </w:r>
      <w:r>
        <w:instrText xml:space="preserve"> HYPERLINK \l "_Toc425712702" </w:instrText>
      </w:r>
      <w:r>
        <w:fldChar w:fldCharType="separate"/>
      </w:r>
      <w:r>
        <w:rPr>
          <w:rStyle w:val="26"/>
          <w:rFonts w:hint="eastAsia" w:cs="宋体"/>
        </w:rPr>
        <w:t>第四章</w:t>
      </w:r>
      <w:r>
        <w:rPr>
          <w:rStyle w:val="26"/>
          <w:rFonts w:cs="宋体"/>
        </w:rPr>
        <w:t xml:space="preserve">   </w:t>
      </w:r>
      <w:r>
        <w:rPr>
          <w:rStyle w:val="26"/>
          <w:rFonts w:hint="eastAsia" w:cs="宋体"/>
        </w:rPr>
        <w:t>股东和股东大会</w:t>
      </w:r>
      <w:r>
        <w:tab/>
      </w:r>
      <w:r>
        <w:fldChar w:fldCharType="begin"/>
      </w:r>
      <w:r>
        <w:instrText xml:space="preserve"> PAGEREF _Toc425712702 \h </w:instrText>
      </w:r>
      <w:r>
        <w:fldChar w:fldCharType="separate"/>
      </w:r>
      <w:r>
        <w:t>4</w:t>
      </w:r>
      <w:r>
        <w:fldChar w:fldCharType="end"/>
      </w:r>
      <w:r>
        <w:fldChar w:fldCharType="end"/>
      </w:r>
    </w:p>
    <w:p w14:paraId="28C9FB78">
      <w:pPr>
        <w:pStyle w:val="17"/>
        <w:rPr>
          <w:rFonts w:eastAsia="宋体" w:asciiTheme="minorHAnsi" w:hAnsiTheme="minorHAnsi" w:cstheme="minorBidi"/>
          <w:sz w:val="24"/>
          <w:szCs w:val="22"/>
        </w:rPr>
      </w:pPr>
      <w:r>
        <w:fldChar w:fldCharType="begin"/>
      </w:r>
      <w:r>
        <w:instrText xml:space="preserve"> HYPERLINK \l "_Toc425712703" </w:instrText>
      </w:r>
      <w:r>
        <w:fldChar w:fldCharType="separate"/>
      </w:r>
      <w:r>
        <w:rPr>
          <w:rStyle w:val="26"/>
          <w:rFonts w:hint="eastAsia" w:eastAsia="宋体" w:cs="宋体"/>
          <w:sz w:val="24"/>
        </w:rPr>
        <w:t>第一节</w:t>
      </w:r>
      <w:r>
        <w:rPr>
          <w:rStyle w:val="26"/>
          <w:rFonts w:eastAsia="宋体" w:cs="宋体"/>
          <w:sz w:val="24"/>
        </w:rPr>
        <w:t xml:space="preserve">  </w:t>
      </w:r>
      <w:r>
        <w:rPr>
          <w:rStyle w:val="26"/>
          <w:rFonts w:hint="eastAsia" w:eastAsia="宋体" w:cs="宋体"/>
          <w:sz w:val="24"/>
        </w:rPr>
        <w:t>股东</w:t>
      </w:r>
      <w:r>
        <w:rPr>
          <w:rFonts w:eastAsia="宋体"/>
          <w:sz w:val="24"/>
        </w:rPr>
        <w:tab/>
      </w:r>
      <w:r>
        <w:rPr>
          <w:rFonts w:eastAsia="宋体"/>
          <w:sz w:val="24"/>
        </w:rPr>
        <w:fldChar w:fldCharType="begin"/>
      </w:r>
      <w:r>
        <w:rPr>
          <w:rFonts w:eastAsia="宋体"/>
          <w:sz w:val="24"/>
        </w:rPr>
        <w:instrText xml:space="preserve"> PAGEREF _Toc425712703 \h </w:instrText>
      </w:r>
      <w:r>
        <w:rPr>
          <w:rFonts w:eastAsia="宋体"/>
          <w:sz w:val="24"/>
        </w:rPr>
        <w:fldChar w:fldCharType="separate"/>
      </w:r>
      <w:r>
        <w:rPr>
          <w:rFonts w:eastAsia="宋体"/>
          <w:sz w:val="24"/>
        </w:rPr>
        <w:t>4</w:t>
      </w:r>
      <w:r>
        <w:rPr>
          <w:rFonts w:eastAsia="宋体"/>
          <w:sz w:val="24"/>
        </w:rPr>
        <w:fldChar w:fldCharType="end"/>
      </w:r>
      <w:r>
        <w:rPr>
          <w:rFonts w:eastAsia="宋体"/>
          <w:sz w:val="24"/>
        </w:rPr>
        <w:fldChar w:fldCharType="end"/>
      </w:r>
    </w:p>
    <w:p w14:paraId="0DBF45F4">
      <w:pPr>
        <w:pStyle w:val="17"/>
        <w:rPr>
          <w:rFonts w:eastAsia="宋体" w:asciiTheme="minorHAnsi" w:hAnsiTheme="minorHAnsi" w:cstheme="minorBidi"/>
          <w:sz w:val="24"/>
          <w:szCs w:val="22"/>
        </w:rPr>
      </w:pPr>
      <w:r>
        <w:fldChar w:fldCharType="begin"/>
      </w:r>
      <w:r>
        <w:instrText xml:space="preserve"> HYPERLINK \l "_Toc425712704" </w:instrText>
      </w:r>
      <w:r>
        <w:fldChar w:fldCharType="separate"/>
      </w:r>
      <w:r>
        <w:rPr>
          <w:rStyle w:val="26"/>
          <w:rFonts w:hint="eastAsia" w:eastAsia="宋体" w:cs="宋体"/>
          <w:sz w:val="24"/>
        </w:rPr>
        <w:t>第二节</w:t>
      </w:r>
      <w:r>
        <w:rPr>
          <w:rStyle w:val="26"/>
          <w:rFonts w:eastAsia="宋体" w:cs="宋体"/>
          <w:sz w:val="24"/>
        </w:rPr>
        <w:t xml:space="preserve">  </w:t>
      </w:r>
      <w:r>
        <w:rPr>
          <w:rStyle w:val="26"/>
          <w:rFonts w:hint="eastAsia" w:eastAsia="宋体" w:cs="宋体"/>
          <w:sz w:val="24"/>
        </w:rPr>
        <w:t>股东大会的一般规定</w:t>
      </w:r>
      <w:r>
        <w:rPr>
          <w:rFonts w:eastAsia="宋体"/>
          <w:sz w:val="24"/>
        </w:rPr>
        <w:tab/>
      </w:r>
      <w:r>
        <w:rPr>
          <w:rFonts w:eastAsia="宋体"/>
          <w:sz w:val="24"/>
        </w:rPr>
        <w:fldChar w:fldCharType="begin"/>
      </w:r>
      <w:r>
        <w:rPr>
          <w:rFonts w:eastAsia="宋体"/>
          <w:sz w:val="24"/>
        </w:rPr>
        <w:instrText xml:space="preserve"> PAGEREF _Toc425712704 \h </w:instrText>
      </w:r>
      <w:r>
        <w:rPr>
          <w:rFonts w:eastAsia="宋体"/>
          <w:sz w:val="24"/>
        </w:rPr>
        <w:fldChar w:fldCharType="separate"/>
      </w:r>
      <w:r>
        <w:rPr>
          <w:rFonts w:eastAsia="宋体"/>
          <w:sz w:val="24"/>
        </w:rPr>
        <w:t>6</w:t>
      </w:r>
      <w:r>
        <w:rPr>
          <w:rFonts w:eastAsia="宋体"/>
          <w:sz w:val="24"/>
        </w:rPr>
        <w:fldChar w:fldCharType="end"/>
      </w:r>
      <w:r>
        <w:rPr>
          <w:rFonts w:eastAsia="宋体"/>
          <w:sz w:val="24"/>
        </w:rPr>
        <w:fldChar w:fldCharType="end"/>
      </w:r>
    </w:p>
    <w:p w14:paraId="1D81C1EA">
      <w:pPr>
        <w:pStyle w:val="17"/>
        <w:rPr>
          <w:rFonts w:eastAsia="宋体" w:asciiTheme="minorHAnsi" w:hAnsiTheme="minorHAnsi" w:cstheme="minorBidi"/>
          <w:sz w:val="24"/>
          <w:szCs w:val="22"/>
        </w:rPr>
      </w:pPr>
      <w:r>
        <w:fldChar w:fldCharType="begin"/>
      </w:r>
      <w:r>
        <w:instrText xml:space="preserve"> HYPERLINK \l "_Toc425712705" </w:instrText>
      </w:r>
      <w:r>
        <w:fldChar w:fldCharType="separate"/>
      </w:r>
      <w:r>
        <w:rPr>
          <w:rStyle w:val="26"/>
          <w:rFonts w:hint="eastAsia" w:eastAsia="宋体" w:cs="宋体"/>
          <w:sz w:val="24"/>
        </w:rPr>
        <w:t>第三节</w:t>
      </w:r>
      <w:r>
        <w:rPr>
          <w:rStyle w:val="26"/>
          <w:rFonts w:eastAsia="宋体" w:cs="宋体"/>
          <w:sz w:val="24"/>
        </w:rPr>
        <w:t xml:space="preserve">  </w:t>
      </w:r>
      <w:r>
        <w:rPr>
          <w:rStyle w:val="26"/>
          <w:rFonts w:hint="eastAsia" w:eastAsia="宋体" w:cs="宋体"/>
          <w:sz w:val="24"/>
        </w:rPr>
        <w:t>股东大会的召集</w:t>
      </w:r>
      <w:r>
        <w:rPr>
          <w:rFonts w:eastAsia="宋体"/>
          <w:sz w:val="24"/>
        </w:rPr>
        <w:tab/>
      </w:r>
      <w:r>
        <w:rPr>
          <w:rFonts w:eastAsia="宋体"/>
          <w:sz w:val="24"/>
        </w:rPr>
        <w:fldChar w:fldCharType="begin"/>
      </w:r>
      <w:r>
        <w:rPr>
          <w:rFonts w:eastAsia="宋体"/>
          <w:sz w:val="24"/>
        </w:rPr>
        <w:instrText xml:space="preserve"> PAGEREF _Toc425712705 \h </w:instrText>
      </w:r>
      <w:r>
        <w:rPr>
          <w:rFonts w:eastAsia="宋体"/>
          <w:sz w:val="24"/>
        </w:rPr>
        <w:fldChar w:fldCharType="separate"/>
      </w:r>
      <w:r>
        <w:rPr>
          <w:rFonts w:eastAsia="宋体"/>
          <w:sz w:val="24"/>
        </w:rPr>
        <w:t>8</w:t>
      </w:r>
      <w:r>
        <w:rPr>
          <w:rFonts w:eastAsia="宋体"/>
          <w:sz w:val="24"/>
        </w:rPr>
        <w:fldChar w:fldCharType="end"/>
      </w:r>
      <w:r>
        <w:rPr>
          <w:rFonts w:eastAsia="宋体"/>
          <w:sz w:val="24"/>
        </w:rPr>
        <w:fldChar w:fldCharType="end"/>
      </w:r>
    </w:p>
    <w:p w14:paraId="4110B32D">
      <w:pPr>
        <w:pStyle w:val="17"/>
        <w:rPr>
          <w:rFonts w:eastAsia="宋体" w:asciiTheme="minorHAnsi" w:hAnsiTheme="minorHAnsi" w:cstheme="minorBidi"/>
          <w:sz w:val="24"/>
          <w:szCs w:val="22"/>
        </w:rPr>
      </w:pPr>
      <w:r>
        <w:fldChar w:fldCharType="begin"/>
      </w:r>
      <w:r>
        <w:instrText xml:space="preserve"> HYPERLINK \l "_Toc425712706" </w:instrText>
      </w:r>
      <w:r>
        <w:fldChar w:fldCharType="separate"/>
      </w:r>
      <w:r>
        <w:rPr>
          <w:rStyle w:val="26"/>
          <w:rFonts w:hint="eastAsia" w:eastAsia="宋体" w:cs="宋体"/>
          <w:sz w:val="24"/>
        </w:rPr>
        <w:t>第四节</w:t>
      </w:r>
      <w:r>
        <w:rPr>
          <w:rStyle w:val="26"/>
          <w:rFonts w:eastAsia="宋体" w:cs="宋体"/>
          <w:sz w:val="24"/>
        </w:rPr>
        <w:t xml:space="preserve">  </w:t>
      </w:r>
      <w:r>
        <w:rPr>
          <w:rStyle w:val="26"/>
          <w:rFonts w:hint="eastAsia" w:eastAsia="宋体" w:cs="宋体"/>
          <w:sz w:val="24"/>
        </w:rPr>
        <w:t>股东大会的提案与通知</w:t>
      </w:r>
      <w:r>
        <w:rPr>
          <w:rFonts w:eastAsia="宋体"/>
          <w:sz w:val="24"/>
        </w:rPr>
        <w:tab/>
      </w:r>
      <w:r>
        <w:rPr>
          <w:rFonts w:eastAsia="宋体"/>
          <w:sz w:val="24"/>
        </w:rPr>
        <w:fldChar w:fldCharType="begin"/>
      </w:r>
      <w:r>
        <w:rPr>
          <w:rFonts w:eastAsia="宋体"/>
          <w:sz w:val="24"/>
        </w:rPr>
        <w:instrText xml:space="preserve"> PAGEREF _Toc425712706 \h </w:instrText>
      </w:r>
      <w:r>
        <w:rPr>
          <w:rFonts w:eastAsia="宋体"/>
          <w:sz w:val="24"/>
        </w:rPr>
        <w:fldChar w:fldCharType="separate"/>
      </w:r>
      <w:r>
        <w:rPr>
          <w:rFonts w:eastAsia="宋体"/>
          <w:sz w:val="24"/>
        </w:rPr>
        <w:t>9</w:t>
      </w:r>
      <w:r>
        <w:rPr>
          <w:rFonts w:eastAsia="宋体"/>
          <w:sz w:val="24"/>
        </w:rPr>
        <w:fldChar w:fldCharType="end"/>
      </w:r>
      <w:r>
        <w:rPr>
          <w:rFonts w:eastAsia="宋体"/>
          <w:sz w:val="24"/>
        </w:rPr>
        <w:fldChar w:fldCharType="end"/>
      </w:r>
    </w:p>
    <w:p w14:paraId="0DC4657C">
      <w:pPr>
        <w:pStyle w:val="17"/>
        <w:rPr>
          <w:rFonts w:eastAsia="宋体" w:asciiTheme="minorHAnsi" w:hAnsiTheme="minorHAnsi" w:cstheme="minorBidi"/>
          <w:sz w:val="24"/>
          <w:szCs w:val="22"/>
        </w:rPr>
      </w:pPr>
      <w:r>
        <w:fldChar w:fldCharType="begin"/>
      </w:r>
      <w:r>
        <w:instrText xml:space="preserve"> HYPERLINK \l "_Toc425712707" </w:instrText>
      </w:r>
      <w:r>
        <w:fldChar w:fldCharType="separate"/>
      </w:r>
      <w:r>
        <w:rPr>
          <w:rStyle w:val="26"/>
          <w:rFonts w:hint="eastAsia" w:eastAsia="宋体" w:cs="宋体"/>
          <w:sz w:val="24"/>
        </w:rPr>
        <w:t>第五节</w:t>
      </w:r>
      <w:r>
        <w:rPr>
          <w:rStyle w:val="26"/>
          <w:rFonts w:eastAsia="宋体" w:cs="宋体"/>
          <w:sz w:val="24"/>
        </w:rPr>
        <w:t xml:space="preserve">  </w:t>
      </w:r>
      <w:r>
        <w:rPr>
          <w:rStyle w:val="26"/>
          <w:rFonts w:hint="eastAsia" w:eastAsia="宋体" w:cs="宋体"/>
          <w:sz w:val="24"/>
        </w:rPr>
        <w:t>股东大会的召开</w:t>
      </w:r>
      <w:r>
        <w:rPr>
          <w:rFonts w:eastAsia="宋体"/>
          <w:sz w:val="24"/>
        </w:rPr>
        <w:tab/>
      </w:r>
      <w:r>
        <w:rPr>
          <w:rFonts w:eastAsia="宋体"/>
          <w:sz w:val="24"/>
        </w:rPr>
        <w:fldChar w:fldCharType="begin"/>
      </w:r>
      <w:r>
        <w:rPr>
          <w:rFonts w:eastAsia="宋体"/>
          <w:sz w:val="24"/>
        </w:rPr>
        <w:instrText xml:space="preserve"> PAGEREF _Toc425712707 \h </w:instrText>
      </w:r>
      <w:r>
        <w:rPr>
          <w:rFonts w:eastAsia="宋体"/>
          <w:sz w:val="24"/>
        </w:rPr>
        <w:fldChar w:fldCharType="separate"/>
      </w:r>
      <w:r>
        <w:rPr>
          <w:rFonts w:eastAsia="宋体"/>
          <w:sz w:val="24"/>
        </w:rPr>
        <w:t>11</w:t>
      </w:r>
      <w:r>
        <w:rPr>
          <w:rFonts w:eastAsia="宋体"/>
          <w:sz w:val="24"/>
        </w:rPr>
        <w:fldChar w:fldCharType="end"/>
      </w:r>
      <w:r>
        <w:rPr>
          <w:rFonts w:eastAsia="宋体"/>
          <w:sz w:val="24"/>
        </w:rPr>
        <w:fldChar w:fldCharType="end"/>
      </w:r>
    </w:p>
    <w:p w14:paraId="24F15A98">
      <w:pPr>
        <w:pStyle w:val="17"/>
        <w:rPr>
          <w:rFonts w:eastAsia="宋体" w:asciiTheme="minorHAnsi" w:hAnsiTheme="minorHAnsi" w:cstheme="minorBidi"/>
          <w:sz w:val="24"/>
          <w:szCs w:val="22"/>
        </w:rPr>
      </w:pPr>
      <w:r>
        <w:fldChar w:fldCharType="begin"/>
      </w:r>
      <w:r>
        <w:instrText xml:space="preserve"> HYPERLINK \l "_Toc425712708" </w:instrText>
      </w:r>
      <w:r>
        <w:fldChar w:fldCharType="separate"/>
      </w:r>
      <w:r>
        <w:rPr>
          <w:rStyle w:val="26"/>
          <w:rFonts w:hint="eastAsia" w:eastAsia="宋体" w:cs="宋体"/>
          <w:sz w:val="24"/>
        </w:rPr>
        <w:t>第六节</w:t>
      </w:r>
      <w:r>
        <w:rPr>
          <w:rStyle w:val="26"/>
          <w:rFonts w:eastAsia="宋体" w:cs="宋体"/>
          <w:sz w:val="24"/>
        </w:rPr>
        <w:t xml:space="preserve">  </w:t>
      </w:r>
      <w:r>
        <w:rPr>
          <w:rStyle w:val="26"/>
          <w:rFonts w:hint="eastAsia" w:eastAsia="宋体" w:cs="宋体"/>
          <w:sz w:val="24"/>
        </w:rPr>
        <w:t>股东大会的表决和决议</w:t>
      </w:r>
      <w:r>
        <w:rPr>
          <w:rFonts w:eastAsia="宋体"/>
          <w:sz w:val="24"/>
        </w:rPr>
        <w:tab/>
      </w:r>
      <w:r>
        <w:rPr>
          <w:rFonts w:eastAsia="宋体"/>
          <w:sz w:val="24"/>
        </w:rPr>
        <w:fldChar w:fldCharType="begin"/>
      </w:r>
      <w:r>
        <w:rPr>
          <w:rFonts w:eastAsia="宋体"/>
          <w:sz w:val="24"/>
        </w:rPr>
        <w:instrText xml:space="preserve"> PAGEREF _Toc425712708 \h </w:instrText>
      </w:r>
      <w:r>
        <w:rPr>
          <w:rFonts w:eastAsia="宋体"/>
          <w:sz w:val="24"/>
        </w:rPr>
        <w:fldChar w:fldCharType="separate"/>
      </w:r>
      <w:r>
        <w:rPr>
          <w:rFonts w:eastAsia="宋体"/>
          <w:sz w:val="24"/>
        </w:rPr>
        <w:t>13</w:t>
      </w:r>
      <w:r>
        <w:rPr>
          <w:rFonts w:eastAsia="宋体"/>
          <w:sz w:val="24"/>
        </w:rPr>
        <w:fldChar w:fldCharType="end"/>
      </w:r>
      <w:r>
        <w:rPr>
          <w:rFonts w:eastAsia="宋体"/>
          <w:sz w:val="24"/>
        </w:rPr>
        <w:fldChar w:fldCharType="end"/>
      </w:r>
    </w:p>
    <w:p w14:paraId="1F131FF7">
      <w:pPr>
        <w:pStyle w:val="15"/>
        <w:rPr>
          <w:rFonts w:asciiTheme="minorHAnsi" w:hAnsiTheme="minorHAnsi" w:cstheme="minorBidi"/>
          <w:bCs w:val="0"/>
          <w:szCs w:val="22"/>
        </w:rPr>
      </w:pPr>
      <w:r>
        <w:fldChar w:fldCharType="begin"/>
      </w:r>
      <w:r>
        <w:instrText xml:space="preserve"> HYPERLINK \l "_Toc425712709" </w:instrText>
      </w:r>
      <w:r>
        <w:fldChar w:fldCharType="separate"/>
      </w:r>
      <w:r>
        <w:rPr>
          <w:rStyle w:val="26"/>
          <w:rFonts w:hint="eastAsia" w:cs="宋体"/>
        </w:rPr>
        <w:t>第五章</w:t>
      </w:r>
      <w:r>
        <w:rPr>
          <w:rStyle w:val="26"/>
          <w:rFonts w:cs="宋体"/>
        </w:rPr>
        <w:t xml:space="preserve">   </w:t>
      </w:r>
      <w:r>
        <w:rPr>
          <w:rStyle w:val="26"/>
          <w:rFonts w:hint="eastAsia" w:cs="宋体"/>
        </w:rPr>
        <w:t>董事会</w:t>
      </w:r>
      <w:r>
        <w:tab/>
      </w:r>
      <w:r>
        <w:fldChar w:fldCharType="begin"/>
      </w:r>
      <w:r>
        <w:instrText xml:space="preserve"> PAGEREF _Toc425712709 \h </w:instrText>
      </w:r>
      <w:r>
        <w:fldChar w:fldCharType="separate"/>
      </w:r>
      <w:r>
        <w:t>16</w:t>
      </w:r>
      <w:r>
        <w:fldChar w:fldCharType="end"/>
      </w:r>
      <w:r>
        <w:fldChar w:fldCharType="end"/>
      </w:r>
    </w:p>
    <w:p w14:paraId="1525730B">
      <w:pPr>
        <w:pStyle w:val="17"/>
        <w:rPr>
          <w:rFonts w:eastAsia="宋体" w:asciiTheme="minorHAnsi" w:hAnsiTheme="minorHAnsi" w:cstheme="minorBidi"/>
          <w:sz w:val="24"/>
          <w:szCs w:val="22"/>
        </w:rPr>
      </w:pPr>
      <w:r>
        <w:fldChar w:fldCharType="begin"/>
      </w:r>
      <w:r>
        <w:instrText xml:space="preserve"> HYPERLINK \l "_Toc425712710" </w:instrText>
      </w:r>
      <w:r>
        <w:fldChar w:fldCharType="separate"/>
      </w:r>
      <w:r>
        <w:rPr>
          <w:rStyle w:val="26"/>
          <w:rFonts w:hint="eastAsia" w:eastAsia="宋体" w:cs="宋体"/>
          <w:sz w:val="24"/>
        </w:rPr>
        <w:t>第一节</w:t>
      </w:r>
      <w:r>
        <w:rPr>
          <w:rStyle w:val="26"/>
          <w:rFonts w:eastAsia="宋体" w:cs="宋体"/>
          <w:sz w:val="24"/>
        </w:rPr>
        <w:t xml:space="preserve">  </w:t>
      </w:r>
      <w:r>
        <w:rPr>
          <w:rStyle w:val="26"/>
          <w:rFonts w:hint="eastAsia" w:eastAsia="宋体" w:cs="宋体"/>
          <w:sz w:val="24"/>
        </w:rPr>
        <w:t>董事</w:t>
      </w:r>
      <w:r>
        <w:rPr>
          <w:rFonts w:eastAsia="宋体"/>
          <w:sz w:val="24"/>
        </w:rPr>
        <w:tab/>
      </w:r>
      <w:r>
        <w:rPr>
          <w:rFonts w:eastAsia="宋体"/>
          <w:sz w:val="24"/>
        </w:rPr>
        <w:fldChar w:fldCharType="begin"/>
      </w:r>
      <w:r>
        <w:rPr>
          <w:rFonts w:eastAsia="宋体"/>
          <w:sz w:val="24"/>
        </w:rPr>
        <w:instrText xml:space="preserve"> PAGEREF _Toc425712710 \h </w:instrText>
      </w:r>
      <w:r>
        <w:rPr>
          <w:rFonts w:eastAsia="宋体"/>
          <w:sz w:val="24"/>
        </w:rPr>
        <w:fldChar w:fldCharType="separate"/>
      </w:r>
      <w:r>
        <w:rPr>
          <w:rFonts w:eastAsia="宋体"/>
          <w:sz w:val="24"/>
        </w:rPr>
        <w:t>16</w:t>
      </w:r>
      <w:r>
        <w:rPr>
          <w:rFonts w:eastAsia="宋体"/>
          <w:sz w:val="24"/>
        </w:rPr>
        <w:fldChar w:fldCharType="end"/>
      </w:r>
      <w:r>
        <w:rPr>
          <w:rFonts w:eastAsia="宋体"/>
          <w:sz w:val="24"/>
        </w:rPr>
        <w:fldChar w:fldCharType="end"/>
      </w:r>
    </w:p>
    <w:p w14:paraId="3EB2F7A2">
      <w:pPr>
        <w:pStyle w:val="17"/>
        <w:rPr>
          <w:rFonts w:eastAsia="宋体" w:asciiTheme="minorHAnsi" w:hAnsiTheme="minorHAnsi" w:cstheme="minorBidi"/>
          <w:sz w:val="24"/>
          <w:szCs w:val="22"/>
        </w:rPr>
      </w:pPr>
      <w:r>
        <w:fldChar w:fldCharType="begin"/>
      </w:r>
      <w:r>
        <w:instrText xml:space="preserve"> HYPERLINK \l "_Toc425712711" </w:instrText>
      </w:r>
      <w:r>
        <w:fldChar w:fldCharType="separate"/>
      </w:r>
      <w:r>
        <w:rPr>
          <w:rStyle w:val="26"/>
          <w:rFonts w:hint="eastAsia" w:eastAsia="宋体" w:cs="宋体"/>
          <w:sz w:val="24"/>
        </w:rPr>
        <w:t>第二节</w:t>
      </w:r>
      <w:r>
        <w:rPr>
          <w:rStyle w:val="26"/>
          <w:rFonts w:eastAsia="宋体" w:cs="宋体"/>
          <w:sz w:val="24"/>
        </w:rPr>
        <w:t xml:space="preserve">  </w:t>
      </w:r>
      <w:r>
        <w:rPr>
          <w:rStyle w:val="26"/>
          <w:rFonts w:hint="eastAsia" w:eastAsia="宋体" w:cs="宋体"/>
          <w:sz w:val="24"/>
        </w:rPr>
        <w:t>董事会</w:t>
      </w:r>
      <w:r>
        <w:rPr>
          <w:rFonts w:eastAsia="宋体"/>
          <w:sz w:val="24"/>
        </w:rPr>
        <w:tab/>
      </w:r>
      <w:r>
        <w:rPr>
          <w:rFonts w:eastAsia="宋体"/>
          <w:sz w:val="24"/>
        </w:rPr>
        <w:fldChar w:fldCharType="begin"/>
      </w:r>
      <w:r>
        <w:rPr>
          <w:rFonts w:eastAsia="宋体"/>
          <w:sz w:val="24"/>
        </w:rPr>
        <w:instrText xml:space="preserve"> PAGEREF _Toc425712711 \h </w:instrText>
      </w:r>
      <w:r>
        <w:rPr>
          <w:rFonts w:eastAsia="宋体"/>
          <w:sz w:val="24"/>
        </w:rPr>
        <w:fldChar w:fldCharType="separate"/>
      </w:r>
      <w:r>
        <w:rPr>
          <w:rFonts w:eastAsia="宋体"/>
          <w:sz w:val="24"/>
        </w:rPr>
        <w:t>18</w:t>
      </w:r>
      <w:r>
        <w:rPr>
          <w:rFonts w:eastAsia="宋体"/>
          <w:sz w:val="24"/>
        </w:rPr>
        <w:fldChar w:fldCharType="end"/>
      </w:r>
      <w:r>
        <w:rPr>
          <w:rFonts w:eastAsia="宋体"/>
          <w:sz w:val="24"/>
        </w:rPr>
        <w:fldChar w:fldCharType="end"/>
      </w:r>
    </w:p>
    <w:p w14:paraId="0114B6A6">
      <w:pPr>
        <w:pStyle w:val="15"/>
        <w:rPr>
          <w:rFonts w:asciiTheme="minorHAnsi" w:hAnsiTheme="minorHAnsi" w:cstheme="minorBidi"/>
          <w:bCs w:val="0"/>
          <w:szCs w:val="22"/>
        </w:rPr>
      </w:pPr>
      <w:r>
        <w:fldChar w:fldCharType="begin"/>
      </w:r>
      <w:r>
        <w:instrText xml:space="preserve"> HYPERLINK \l "_Toc425712712" </w:instrText>
      </w:r>
      <w:r>
        <w:fldChar w:fldCharType="separate"/>
      </w:r>
      <w:r>
        <w:rPr>
          <w:rStyle w:val="26"/>
          <w:rFonts w:hint="eastAsia" w:cs="宋体"/>
        </w:rPr>
        <w:t>第六章</w:t>
      </w:r>
      <w:r>
        <w:rPr>
          <w:rStyle w:val="26"/>
          <w:rFonts w:cs="宋体"/>
        </w:rPr>
        <w:t xml:space="preserve">   </w:t>
      </w:r>
      <w:r>
        <w:rPr>
          <w:rStyle w:val="26"/>
          <w:rFonts w:hint="eastAsia" w:cs="宋体"/>
        </w:rPr>
        <w:t>总经理及其他高级管理人员</w:t>
      </w:r>
      <w:r>
        <w:tab/>
      </w:r>
      <w:r>
        <w:fldChar w:fldCharType="begin"/>
      </w:r>
      <w:r>
        <w:instrText xml:space="preserve"> PAGEREF _Toc425712712 \h </w:instrText>
      </w:r>
      <w:r>
        <w:fldChar w:fldCharType="separate"/>
      </w:r>
      <w:r>
        <w:t>21</w:t>
      </w:r>
      <w:r>
        <w:fldChar w:fldCharType="end"/>
      </w:r>
      <w:r>
        <w:fldChar w:fldCharType="end"/>
      </w:r>
    </w:p>
    <w:p w14:paraId="6A234216">
      <w:pPr>
        <w:pStyle w:val="17"/>
        <w:rPr>
          <w:rFonts w:eastAsia="宋体" w:asciiTheme="minorHAnsi" w:hAnsiTheme="minorHAnsi" w:cstheme="minorBidi"/>
          <w:sz w:val="24"/>
          <w:szCs w:val="22"/>
        </w:rPr>
      </w:pPr>
      <w:r>
        <w:fldChar w:fldCharType="begin"/>
      </w:r>
      <w:r>
        <w:instrText xml:space="preserve"> HYPERLINK \l "_Toc425712713" </w:instrText>
      </w:r>
      <w:r>
        <w:fldChar w:fldCharType="separate"/>
      </w:r>
      <w:r>
        <w:rPr>
          <w:rStyle w:val="26"/>
          <w:rFonts w:hint="eastAsia" w:eastAsia="宋体" w:cs="宋体"/>
          <w:sz w:val="24"/>
        </w:rPr>
        <w:t>第一节</w:t>
      </w:r>
      <w:r>
        <w:rPr>
          <w:rStyle w:val="26"/>
          <w:rFonts w:eastAsia="宋体" w:cs="宋体"/>
          <w:sz w:val="24"/>
        </w:rPr>
        <w:t xml:space="preserve">  </w:t>
      </w:r>
      <w:r>
        <w:rPr>
          <w:rStyle w:val="26"/>
          <w:rFonts w:hint="eastAsia" w:eastAsia="宋体" w:cs="宋体"/>
          <w:sz w:val="24"/>
        </w:rPr>
        <w:t>总经理</w:t>
      </w:r>
      <w:r>
        <w:rPr>
          <w:rFonts w:eastAsia="宋体"/>
          <w:sz w:val="24"/>
        </w:rPr>
        <w:tab/>
      </w:r>
      <w:r>
        <w:rPr>
          <w:rFonts w:eastAsia="宋体"/>
          <w:sz w:val="24"/>
        </w:rPr>
        <w:fldChar w:fldCharType="begin"/>
      </w:r>
      <w:r>
        <w:rPr>
          <w:rFonts w:eastAsia="宋体"/>
          <w:sz w:val="24"/>
        </w:rPr>
        <w:instrText xml:space="preserve"> PAGEREF _Toc425712713 \h </w:instrText>
      </w:r>
      <w:r>
        <w:rPr>
          <w:rFonts w:eastAsia="宋体"/>
          <w:sz w:val="24"/>
        </w:rPr>
        <w:fldChar w:fldCharType="separate"/>
      </w:r>
      <w:r>
        <w:rPr>
          <w:rFonts w:eastAsia="宋体"/>
          <w:sz w:val="24"/>
        </w:rPr>
        <w:t>21</w:t>
      </w:r>
      <w:r>
        <w:rPr>
          <w:rFonts w:eastAsia="宋体"/>
          <w:sz w:val="24"/>
        </w:rPr>
        <w:fldChar w:fldCharType="end"/>
      </w:r>
      <w:r>
        <w:rPr>
          <w:rFonts w:eastAsia="宋体"/>
          <w:sz w:val="24"/>
        </w:rPr>
        <w:fldChar w:fldCharType="end"/>
      </w:r>
    </w:p>
    <w:p w14:paraId="646B8BAC">
      <w:pPr>
        <w:pStyle w:val="17"/>
        <w:rPr>
          <w:rFonts w:eastAsia="宋体" w:asciiTheme="minorHAnsi" w:hAnsiTheme="minorHAnsi" w:cstheme="minorBidi"/>
          <w:sz w:val="24"/>
          <w:szCs w:val="22"/>
        </w:rPr>
      </w:pPr>
      <w:r>
        <w:fldChar w:fldCharType="begin"/>
      </w:r>
      <w:r>
        <w:instrText xml:space="preserve"> HYPERLINK \l "_Toc425712714" </w:instrText>
      </w:r>
      <w:r>
        <w:fldChar w:fldCharType="separate"/>
      </w:r>
      <w:r>
        <w:rPr>
          <w:rStyle w:val="26"/>
          <w:rFonts w:hint="eastAsia" w:eastAsia="宋体" w:cs="宋体"/>
          <w:sz w:val="24"/>
        </w:rPr>
        <w:t>第二节</w:t>
      </w:r>
      <w:r>
        <w:rPr>
          <w:rStyle w:val="26"/>
          <w:rFonts w:eastAsia="宋体" w:cs="宋体"/>
          <w:sz w:val="24"/>
        </w:rPr>
        <w:t xml:space="preserve">  </w:t>
      </w:r>
      <w:r>
        <w:rPr>
          <w:rStyle w:val="26"/>
          <w:rFonts w:hint="eastAsia" w:eastAsia="宋体" w:cs="宋体"/>
          <w:sz w:val="24"/>
        </w:rPr>
        <w:t>董事会秘书</w:t>
      </w:r>
      <w:r>
        <w:rPr>
          <w:rFonts w:eastAsia="宋体"/>
          <w:sz w:val="24"/>
        </w:rPr>
        <w:tab/>
      </w:r>
      <w:r>
        <w:rPr>
          <w:rFonts w:eastAsia="宋体"/>
          <w:sz w:val="24"/>
        </w:rPr>
        <w:fldChar w:fldCharType="begin"/>
      </w:r>
      <w:r>
        <w:rPr>
          <w:rFonts w:eastAsia="宋体"/>
          <w:sz w:val="24"/>
        </w:rPr>
        <w:instrText xml:space="preserve"> PAGEREF _Toc425712714 \h </w:instrText>
      </w:r>
      <w:r>
        <w:rPr>
          <w:rFonts w:eastAsia="宋体"/>
          <w:sz w:val="24"/>
        </w:rPr>
        <w:fldChar w:fldCharType="separate"/>
      </w:r>
      <w:r>
        <w:rPr>
          <w:rFonts w:eastAsia="宋体"/>
          <w:sz w:val="24"/>
        </w:rPr>
        <w:t>23</w:t>
      </w:r>
      <w:r>
        <w:rPr>
          <w:rFonts w:eastAsia="宋体"/>
          <w:sz w:val="24"/>
        </w:rPr>
        <w:fldChar w:fldCharType="end"/>
      </w:r>
      <w:r>
        <w:rPr>
          <w:rFonts w:eastAsia="宋体"/>
          <w:sz w:val="24"/>
        </w:rPr>
        <w:fldChar w:fldCharType="end"/>
      </w:r>
    </w:p>
    <w:p w14:paraId="74C3EB6E">
      <w:pPr>
        <w:pStyle w:val="15"/>
        <w:rPr>
          <w:rFonts w:asciiTheme="minorHAnsi" w:hAnsiTheme="minorHAnsi" w:cstheme="minorBidi"/>
          <w:bCs w:val="0"/>
          <w:szCs w:val="22"/>
        </w:rPr>
      </w:pPr>
      <w:r>
        <w:fldChar w:fldCharType="begin"/>
      </w:r>
      <w:r>
        <w:instrText xml:space="preserve"> HYPERLINK \l "_Toc425712715" </w:instrText>
      </w:r>
      <w:r>
        <w:fldChar w:fldCharType="separate"/>
      </w:r>
      <w:r>
        <w:rPr>
          <w:rStyle w:val="26"/>
          <w:rFonts w:hint="eastAsia" w:cs="宋体"/>
        </w:rPr>
        <w:t>第七章</w:t>
      </w:r>
      <w:r>
        <w:rPr>
          <w:rStyle w:val="26"/>
          <w:rFonts w:cs="宋体"/>
        </w:rPr>
        <w:t xml:space="preserve">   </w:t>
      </w:r>
      <w:r>
        <w:rPr>
          <w:rStyle w:val="26"/>
          <w:rFonts w:hint="eastAsia" w:cs="宋体"/>
        </w:rPr>
        <w:t>监事会</w:t>
      </w:r>
      <w:r>
        <w:tab/>
      </w:r>
      <w:r>
        <w:fldChar w:fldCharType="begin"/>
      </w:r>
      <w:r>
        <w:instrText xml:space="preserve"> PAGEREF _Toc425712715 \h </w:instrText>
      </w:r>
      <w:r>
        <w:fldChar w:fldCharType="separate"/>
      </w:r>
      <w:r>
        <w:t>23</w:t>
      </w:r>
      <w:r>
        <w:fldChar w:fldCharType="end"/>
      </w:r>
      <w:r>
        <w:fldChar w:fldCharType="end"/>
      </w:r>
    </w:p>
    <w:p w14:paraId="63CB5585">
      <w:pPr>
        <w:pStyle w:val="17"/>
        <w:rPr>
          <w:rFonts w:eastAsia="宋体" w:asciiTheme="minorHAnsi" w:hAnsiTheme="minorHAnsi" w:cstheme="minorBidi"/>
          <w:sz w:val="24"/>
          <w:szCs w:val="22"/>
        </w:rPr>
      </w:pPr>
      <w:r>
        <w:fldChar w:fldCharType="begin"/>
      </w:r>
      <w:r>
        <w:instrText xml:space="preserve"> HYPERLINK \l "_Toc425712716" </w:instrText>
      </w:r>
      <w:r>
        <w:fldChar w:fldCharType="separate"/>
      </w:r>
      <w:r>
        <w:rPr>
          <w:rStyle w:val="26"/>
          <w:rFonts w:hint="eastAsia" w:eastAsia="宋体" w:cs="宋体"/>
          <w:sz w:val="24"/>
        </w:rPr>
        <w:t>第一节</w:t>
      </w:r>
      <w:r>
        <w:rPr>
          <w:rStyle w:val="26"/>
          <w:rFonts w:eastAsia="宋体" w:cs="宋体"/>
          <w:sz w:val="24"/>
        </w:rPr>
        <w:t xml:space="preserve">  </w:t>
      </w:r>
      <w:r>
        <w:rPr>
          <w:rStyle w:val="26"/>
          <w:rFonts w:hint="eastAsia" w:eastAsia="宋体" w:cs="宋体"/>
          <w:sz w:val="24"/>
        </w:rPr>
        <w:t>监事</w:t>
      </w:r>
      <w:r>
        <w:rPr>
          <w:rFonts w:eastAsia="宋体"/>
          <w:sz w:val="24"/>
        </w:rPr>
        <w:tab/>
      </w:r>
      <w:r>
        <w:rPr>
          <w:rFonts w:eastAsia="宋体"/>
          <w:sz w:val="24"/>
        </w:rPr>
        <w:fldChar w:fldCharType="begin"/>
      </w:r>
      <w:r>
        <w:rPr>
          <w:rFonts w:eastAsia="宋体"/>
          <w:sz w:val="24"/>
        </w:rPr>
        <w:instrText xml:space="preserve"> PAGEREF _Toc425712716 \h </w:instrText>
      </w:r>
      <w:r>
        <w:rPr>
          <w:rFonts w:eastAsia="宋体"/>
          <w:sz w:val="24"/>
        </w:rPr>
        <w:fldChar w:fldCharType="separate"/>
      </w:r>
      <w:r>
        <w:rPr>
          <w:rFonts w:eastAsia="宋体"/>
          <w:sz w:val="24"/>
        </w:rPr>
        <w:t>23</w:t>
      </w:r>
      <w:r>
        <w:rPr>
          <w:rFonts w:eastAsia="宋体"/>
          <w:sz w:val="24"/>
        </w:rPr>
        <w:fldChar w:fldCharType="end"/>
      </w:r>
      <w:r>
        <w:rPr>
          <w:rFonts w:eastAsia="宋体"/>
          <w:sz w:val="24"/>
        </w:rPr>
        <w:fldChar w:fldCharType="end"/>
      </w:r>
    </w:p>
    <w:p w14:paraId="1C5180B2">
      <w:pPr>
        <w:pStyle w:val="17"/>
        <w:rPr>
          <w:rFonts w:eastAsia="宋体" w:asciiTheme="minorHAnsi" w:hAnsiTheme="minorHAnsi" w:cstheme="minorBidi"/>
          <w:sz w:val="24"/>
          <w:szCs w:val="22"/>
        </w:rPr>
      </w:pPr>
      <w:r>
        <w:fldChar w:fldCharType="begin"/>
      </w:r>
      <w:r>
        <w:instrText xml:space="preserve"> HYPERLINK \l "_Toc425712717" </w:instrText>
      </w:r>
      <w:r>
        <w:fldChar w:fldCharType="separate"/>
      </w:r>
      <w:r>
        <w:rPr>
          <w:rStyle w:val="26"/>
          <w:rFonts w:hint="eastAsia" w:eastAsia="宋体" w:cs="宋体"/>
          <w:sz w:val="24"/>
        </w:rPr>
        <w:t>第二节</w:t>
      </w:r>
      <w:r>
        <w:rPr>
          <w:rStyle w:val="26"/>
          <w:rFonts w:eastAsia="宋体" w:cs="宋体"/>
          <w:sz w:val="24"/>
        </w:rPr>
        <w:t xml:space="preserve">  </w:t>
      </w:r>
      <w:r>
        <w:rPr>
          <w:rStyle w:val="26"/>
          <w:rFonts w:hint="eastAsia" w:eastAsia="宋体" w:cs="宋体"/>
          <w:sz w:val="24"/>
        </w:rPr>
        <w:t>监事会</w:t>
      </w:r>
      <w:r>
        <w:rPr>
          <w:rFonts w:eastAsia="宋体"/>
          <w:sz w:val="24"/>
        </w:rPr>
        <w:tab/>
      </w:r>
      <w:r>
        <w:rPr>
          <w:rFonts w:eastAsia="宋体"/>
          <w:sz w:val="24"/>
        </w:rPr>
        <w:fldChar w:fldCharType="begin"/>
      </w:r>
      <w:r>
        <w:rPr>
          <w:rFonts w:eastAsia="宋体"/>
          <w:sz w:val="24"/>
        </w:rPr>
        <w:instrText xml:space="preserve"> PAGEREF _Toc425712717 \h </w:instrText>
      </w:r>
      <w:r>
        <w:rPr>
          <w:rFonts w:eastAsia="宋体"/>
          <w:sz w:val="24"/>
        </w:rPr>
        <w:fldChar w:fldCharType="separate"/>
      </w:r>
      <w:r>
        <w:rPr>
          <w:rFonts w:eastAsia="宋体"/>
          <w:sz w:val="24"/>
        </w:rPr>
        <w:t>24</w:t>
      </w:r>
      <w:r>
        <w:rPr>
          <w:rFonts w:eastAsia="宋体"/>
          <w:sz w:val="24"/>
        </w:rPr>
        <w:fldChar w:fldCharType="end"/>
      </w:r>
      <w:r>
        <w:rPr>
          <w:rFonts w:eastAsia="宋体"/>
          <w:sz w:val="24"/>
        </w:rPr>
        <w:fldChar w:fldCharType="end"/>
      </w:r>
    </w:p>
    <w:p w14:paraId="77E7F268">
      <w:pPr>
        <w:pStyle w:val="15"/>
        <w:rPr>
          <w:rFonts w:asciiTheme="minorHAnsi" w:hAnsiTheme="minorHAnsi" w:cstheme="minorBidi"/>
          <w:bCs w:val="0"/>
          <w:szCs w:val="22"/>
        </w:rPr>
      </w:pPr>
      <w:r>
        <w:fldChar w:fldCharType="begin"/>
      </w:r>
      <w:r>
        <w:instrText xml:space="preserve"> HYPERLINK \l "_Toc425712718" </w:instrText>
      </w:r>
      <w:r>
        <w:fldChar w:fldCharType="separate"/>
      </w:r>
      <w:r>
        <w:rPr>
          <w:rStyle w:val="26"/>
          <w:rFonts w:hint="eastAsia" w:cs="宋体"/>
        </w:rPr>
        <w:t>第八章</w:t>
      </w:r>
      <w:r>
        <w:rPr>
          <w:rStyle w:val="26"/>
          <w:rFonts w:cs="宋体"/>
        </w:rPr>
        <w:t xml:space="preserve">   </w:t>
      </w:r>
      <w:r>
        <w:rPr>
          <w:rStyle w:val="26"/>
          <w:rFonts w:hint="eastAsia" w:cs="宋体"/>
        </w:rPr>
        <w:t>财务会计制度、利润分配和审计</w:t>
      </w:r>
      <w:r>
        <w:tab/>
      </w:r>
      <w:r>
        <w:fldChar w:fldCharType="begin"/>
      </w:r>
      <w:r>
        <w:instrText xml:space="preserve"> PAGEREF _Toc425712718 \h </w:instrText>
      </w:r>
      <w:r>
        <w:fldChar w:fldCharType="separate"/>
      </w:r>
      <w:r>
        <w:t>25</w:t>
      </w:r>
      <w:r>
        <w:fldChar w:fldCharType="end"/>
      </w:r>
      <w:r>
        <w:fldChar w:fldCharType="end"/>
      </w:r>
    </w:p>
    <w:p w14:paraId="0C72D718">
      <w:pPr>
        <w:pStyle w:val="17"/>
        <w:rPr>
          <w:rFonts w:eastAsia="宋体" w:asciiTheme="minorHAnsi" w:hAnsiTheme="minorHAnsi" w:cstheme="minorBidi"/>
          <w:sz w:val="24"/>
          <w:szCs w:val="22"/>
        </w:rPr>
      </w:pPr>
      <w:r>
        <w:fldChar w:fldCharType="begin"/>
      </w:r>
      <w:r>
        <w:instrText xml:space="preserve"> HYPERLINK \l "_Toc425712719" </w:instrText>
      </w:r>
      <w:r>
        <w:fldChar w:fldCharType="separate"/>
      </w:r>
      <w:r>
        <w:rPr>
          <w:rStyle w:val="26"/>
          <w:rFonts w:hint="eastAsia" w:eastAsia="宋体" w:cs="宋体"/>
          <w:sz w:val="24"/>
        </w:rPr>
        <w:t>第一节</w:t>
      </w:r>
      <w:r>
        <w:rPr>
          <w:rStyle w:val="26"/>
          <w:rFonts w:eastAsia="宋体" w:cs="宋体"/>
          <w:sz w:val="24"/>
        </w:rPr>
        <w:t xml:space="preserve">  </w:t>
      </w:r>
      <w:r>
        <w:rPr>
          <w:rStyle w:val="26"/>
          <w:rFonts w:hint="eastAsia" w:eastAsia="宋体" w:cs="宋体"/>
          <w:sz w:val="24"/>
        </w:rPr>
        <w:t>财务会计制度</w:t>
      </w:r>
      <w:r>
        <w:rPr>
          <w:rFonts w:eastAsia="宋体"/>
          <w:sz w:val="24"/>
        </w:rPr>
        <w:tab/>
      </w:r>
      <w:r>
        <w:rPr>
          <w:rFonts w:eastAsia="宋体"/>
          <w:sz w:val="24"/>
        </w:rPr>
        <w:fldChar w:fldCharType="begin"/>
      </w:r>
      <w:r>
        <w:rPr>
          <w:rFonts w:eastAsia="宋体"/>
          <w:sz w:val="24"/>
        </w:rPr>
        <w:instrText xml:space="preserve"> PAGEREF _Toc425712719 \h </w:instrText>
      </w:r>
      <w:r>
        <w:rPr>
          <w:rFonts w:eastAsia="宋体"/>
          <w:sz w:val="24"/>
        </w:rPr>
        <w:fldChar w:fldCharType="separate"/>
      </w:r>
      <w:r>
        <w:rPr>
          <w:rFonts w:eastAsia="宋体"/>
          <w:sz w:val="24"/>
        </w:rPr>
        <w:t>25</w:t>
      </w:r>
      <w:r>
        <w:rPr>
          <w:rFonts w:eastAsia="宋体"/>
          <w:sz w:val="24"/>
        </w:rPr>
        <w:fldChar w:fldCharType="end"/>
      </w:r>
      <w:r>
        <w:rPr>
          <w:rFonts w:eastAsia="宋体"/>
          <w:sz w:val="24"/>
        </w:rPr>
        <w:fldChar w:fldCharType="end"/>
      </w:r>
    </w:p>
    <w:p w14:paraId="0FF2DE91">
      <w:pPr>
        <w:pStyle w:val="17"/>
        <w:rPr>
          <w:rFonts w:eastAsia="宋体" w:asciiTheme="minorHAnsi" w:hAnsiTheme="minorHAnsi" w:cstheme="minorBidi"/>
          <w:sz w:val="24"/>
          <w:szCs w:val="22"/>
        </w:rPr>
      </w:pPr>
      <w:r>
        <w:fldChar w:fldCharType="begin"/>
      </w:r>
      <w:r>
        <w:instrText xml:space="preserve"> HYPERLINK \l "_Toc425712720" </w:instrText>
      </w:r>
      <w:r>
        <w:fldChar w:fldCharType="separate"/>
      </w:r>
      <w:r>
        <w:rPr>
          <w:rStyle w:val="26"/>
          <w:rFonts w:hint="eastAsia" w:eastAsia="宋体" w:cs="宋体"/>
          <w:sz w:val="24"/>
        </w:rPr>
        <w:t>第二节</w:t>
      </w:r>
      <w:r>
        <w:rPr>
          <w:rStyle w:val="26"/>
          <w:rFonts w:eastAsia="宋体" w:cs="宋体"/>
          <w:sz w:val="24"/>
        </w:rPr>
        <w:t xml:space="preserve">  </w:t>
      </w:r>
      <w:r>
        <w:rPr>
          <w:rStyle w:val="26"/>
          <w:rFonts w:hint="eastAsia" w:eastAsia="宋体" w:cs="宋体"/>
          <w:sz w:val="24"/>
        </w:rPr>
        <w:t>会计师事务所的聘任</w:t>
      </w:r>
      <w:r>
        <w:rPr>
          <w:rFonts w:eastAsia="宋体"/>
          <w:sz w:val="24"/>
        </w:rPr>
        <w:tab/>
      </w:r>
      <w:r>
        <w:rPr>
          <w:rFonts w:eastAsia="宋体"/>
          <w:sz w:val="24"/>
        </w:rPr>
        <w:fldChar w:fldCharType="begin"/>
      </w:r>
      <w:r>
        <w:rPr>
          <w:rFonts w:eastAsia="宋体"/>
          <w:sz w:val="24"/>
        </w:rPr>
        <w:instrText xml:space="preserve"> PAGEREF _Toc425712720 \h </w:instrText>
      </w:r>
      <w:r>
        <w:rPr>
          <w:rFonts w:eastAsia="宋体"/>
          <w:sz w:val="24"/>
        </w:rPr>
        <w:fldChar w:fldCharType="separate"/>
      </w:r>
      <w:r>
        <w:rPr>
          <w:rFonts w:eastAsia="宋体"/>
          <w:sz w:val="24"/>
        </w:rPr>
        <w:t>26</w:t>
      </w:r>
      <w:r>
        <w:rPr>
          <w:rFonts w:eastAsia="宋体"/>
          <w:sz w:val="24"/>
        </w:rPr>
        <w:fldChar w:fldCharType="end"/>
      </w:r>
      <w:r>
        <w:rPr>
          <w:rFonts w:eastAsia="宋体"/>
          <w:sz w:val="24"/>
        </w:rPr>
        <w:fldChar w:fldCharType="end"/>
      </w:r>
    </w:p>
    <w:p w14:paraId="217F0EF6">
      <w:pPr>
        <w:pStyle w:val="15"/>
        <w:rPr>
          <w:rFonts w:asciiTheme="minorHAnsi" w:hAnsiTheme="minorHAnsi" w:cstheme="minorBidi"/>
          <w:bCs w:val="0"/>
          <w:szCs w:val="22"/>
        </w:rPr>
      </w:pPr>
      <w:r>
        <w:fldChar w:fldCharType="begin"/>
      </w:r>
      <w:r>
        <w:instrText xml:space="preserve"> HYPERLINK \l "_Toc425712721" </w:instrText>
      </w:r>
      <w:r>
        <w:fldChar w:fldCharType="separate"/>
      </w:r>
      <w:r>
        <w:rPr>
          <w:rStyle w:val="26"/>
          <w:rFonts w:hint="eastAsia" w:cs="宋体"/>
        </w:rPr>
        <w:t>第九章</w:t>
      </w:r>
      <w:r>
        <w:rPr>
          <w:rStyle w:val="26"/>
          <w:rFonts w:cs="宋体"/>
        </w:rPr>
        <w:t xml:space="preserve">   </w:t>
      </w:r>
      <w:r>
        <w:rPr>
          <w:rStyle w:val="26"/>
          <w:rFonts w:hint="eastAsia" w:cs="宋体"/>
        </w:rPr>
        <w:t>通</w:t>
      </w:r>
      <w:r>
        <w:rPr>
          <w:rStyle w:val="26"/>
          <w:rFonts w:cs="宋体"/>
        </w:rPr>
        <w:t xml:space="preserve">  </w:t>
      </w:r>
      <w:r>
        <w:rPr>
          <w:rStyle w:val="26"/>
          <w:rFonts w:hint="eastAsia" w:cs="宋体"/>
        </w:rPr>
        <w:t>知</w:t>
      </w:r>
      <w:r>
        <w:tab/>
      </w:r>
      <w:r>
        <w:fldChar w:fldCharType="begin"/>
      </w:r>
      <w:r>
        <w:instrText xml:space="preserve"> PAGEREF _Toc425712721 \h </w:instrText>
      </w:r>
      <w:r>
        <w:fldChar w:fldCharType="separate"/>
      </w:r>
      <w:r>
        <w:t>27</w:t>
      </w:r>
      <w:r>
        <w:fldChar w:fldCharType="end"/>
      </w:r>
      <w:r>
        <w:fldChar w:fldCharType="end"/>
      </w:r>
    </w:p>
    <w:p w14:paraId="42F35A52">
      <w:pPr>
        <w:pStyle w:val="15"/>
        <w:rPr>
          <w:rFonts w:asciiTheme="minorHAnsi" w:hAnsiTheme="minorHAnsi" w:cstheme="minorBidi"/>
          <w:bCs w:val="0"/>
          <w:szCs w:val="22"/>
        </w:rPr>
      </w:pPr>
      <w:r>
        <w:fldChar w:fldCharType="begin"/>
      </w:r>
      <w:r>
        <w:instrText xml:space="preserve"> HYPERLINK \l "_Toc425712722" </w:instrText>
      </w:r>
      <w:r>
        <w:fldChar w:fldCharType="separate"/>
      </w:r>
      <w:r>
        <w:rPr>
          <w:rStyle w:val="26"/>
          <w:rFonts w:hint="eastAsia" w:cs="宋体"/>
        </w:rPr>
        <w:t>第十章</w:t>
      </w:r>
      <w:r>
        <w:rPr>
          <w:rStyle w:val="26"/>
          <w:rFonts w:cs="宋体"/>
        </w:rPr>
        <w:t xml:space="preserve">   </w:t>
      </w:r>
      <w:r>
        <w:rPr>
          <w:rStyle w:val="26"/>
          <w:rFonts w:hint="eastAsia" w:cs="宋体"/>
        </w:rPr>
        <w:t>合并、分立、增资、减资、解散和清算</w:t>
      </w:r>
      <w:r>
        <w:tab/>
      </w:r>
      <w:r>
        <w:fldChar w:fldCharType="begin"/>
      </w:r>
      <w:r>
        <w:instrText xml:space="preserve"> PAGEREF _Toc425712722 \h </w:instrText>
      </w:r>
      <w:r>
        <w:fldChar w:fldCharType="separate"/>
      </w:r>
      <w:r>
        <w:t>27</w:t>
      </w:r>
      <w:r>
        <w:fldChar w:fldCharType="end"/>
      </w:r>
      <w:r>
        <w:fldChar w:fldCharType="end"/>
      </w:r>
    </w:p>
    <w:p w14:paraId="211824FC">
      <w:pPr>
        <w:pStyle w:val="17"/>
        <w:rPr>
          <w:rFonts w:eastAsia="宋体" w:asciiTheme="minorHAnsi" w:hAnsiTheme="minorHAnsi" w:cstheme="minorBidi"/>
          <w:sz w:val="24"/>
          <w:szCs w:val="22"/>
        </w:rPr>
      </w:pPr>
      <w:r>
        <w:fldChar w:fldCharType="begin"/>
      </w:r>
      <w:r>
        <w:instrText xml:space="preserve"> HYPERLINK \l "_Toc425712723" </w:instrText>
      </w:r>
      <w:r>
        <w:fldChar w:fldCharType="separate"/>
      </w:r>
      <w:r>
        <w:rPr>
          <w:rStyle w:val="26"/>
          <w:rFonts w:hint="eastAsia" w:eastAsia="宋体" w:cs="宋体"/>
          <w:sz w:val="24"/>
        </w:rPr>
        <w:t>第一节</w:t>
      </w:r>
      <w:r>
        <w:rPr>
          <w:rStyle w:val="26"/>
          <w:rFonts w:eastAsia="宋体" w:cs="宋体"/>
          <w:sz w:val="24"/>
        </w:rPr>
        <w:t xml:space="preserve">  </w:t>
      </w:r>
      <w:r>
        <w:rPr>
          <w:rStyle w:val="26"/>
          <w:rFonts w:hint="eastAsia" w:eastAsia="宋体" w:cs="宋体"/>
          <w:sz w:val="24"/>
        </w:rPr>
        <w:t>合并、分立、增资和减资</w:t>
      </w:r>
      <w:r>
        <w:rPr>
          <w:rFonts w:eastAsia="宋体"/>
          <w:sz w:val="24"/>
        </w:rPr>
        <w:tab/>
      </w:r>
      <w:r>
        <w:rPr>
          <w:rFonts w:eastAsia="宋体"/>
          <w:sz w:val="24"/>
        </w:rPr>
        <w:fldChar w:fldCharType="begin"/>
      </w:r>
      <w:r>
        <w:rPr>
          <w:rFonts w:eastAsia="宋体"/>
          <w:sz w:val="24"/>
        </w:rPr>
        <w:instrText xml:space="preserve"> PAGEREF _Toc425712723 \h </w:instrText>
      </w:r>
      <w:r>
        <w:rPr>
          <w:rFonts w:eastAsia="宋体"/>
          <w:sz w:val="24"/>
        </w:rPr>
        <w:fldChar w:fldCharType="separate"/>
      </w:r>
      <w:r>
        <w:rPr>
          <w:rFonts w:eastAsia="宋体"/>
          <w:sz w:val="24"/>
        </w:rPr>
        <w:t>27</w:t>
      </w:r>
      <w:r>
        <w:rPr>
          <w:rFonts w:eastAsia="宋体"/>
          <w:sz w:val="24"/>
        </w:rPr>
        <w:fldChar w:fldCharType="end"/>
      </w:r>
      <w:r>
        <w:rPr>
          <w:rFonts w:eastAsia="宋体"/>
          <w:sz w:val="24"/>
        </w:rPr>
        <w:fldChar w:fldCharType="end"/>
      </w:r>
    </w:p>
    <w:p w14:paraId="5703ECFC">
      <w:pPr>
        <w:pStyle w:val="17"/>
        <w:rPr>
          <w:rFonts w:eastAsia="宋体" w:asciiTheme="minorHAnsi" w:hAnsiTheme="minorHAnsi" w:cstheme="minorBidi"/>
          <w:sz w:val="24"/>
          <w:szCs w:val="22"/>
        </w:rPr>
      </w:pPr>
      <w:r>
        <w:fldChar w:fldCharType="begin"/>
      </w:r>
      <w:r>
        <w:instrText xml:space="preserve"> HYPERLINK \l "_Toc425712724" </w:instrText>
      </w:r>
      <w:r>
        <w:fldChar w:fldCharType="separate"/>
      </w:r>
      <w:r>
        <w:rPr>
          <w:rStyle w:val="26"/>
          <w:rFonts w:hint="eastAsia" w:eastAsia="宋体" w:cs="宋体"/>
          <w:sz w:val="24"/>
        </w:rPr>
        <w:t>第二节</w:t>
      </w:r>
      <w:r>
        <w:rPr>
          <w:rStyle w:val="26"/>
          <w:rFonts w:eastAsia="宋体" w:cs="宋体"/>
          <w:sz w:val="24"/>
        </w:rPr>
        <w:t xml:space="preserve">  </w:t>
      </w:r>
      <w:r>
        <w:rPr>
          <w:rStyle w:val="26"/>
          <w:rFonts w:hint="eastAsia" w:eastAsia="宋体" w:cs="宋体"/>
          <w:sz w:val="24"/>
        </w:rPr>
        <w:t>解散和清算</w:t>
      </w:r>
      <w:r>
        <w:rPr>
          <w:rFonts w:eastAsia="宋体"/>
          <w:sz w:val="24"/>
        </w:rPr>
        <w:tab/>
      </w:r>
      <w:r>
        <w:rPr>
          <w:rFonts w:eastAsia="宋体"/>
          <w:sz w:val="24"/>
        </w:rPr>
        <w:fldChar w:fldCharType="begin"/>
      </w:r>
      <w:r>
        <w:rPr>
          <w:rFonts w:eastAsia="宋体"/>
          <w:sz w:val="24"/>
        </w:rPr>
        <w:instrText xml:space="preserve"> PAGEREF _Toc425712724 \h </w:instrText>
      </w:r>
      <w:r>
        <w:rPr>
          <w:rFonts w:eastAsia="宋体"/>
          <w:sz w:val="24"/>
        </w:rPr>
        <w:fldChar w:fldCharType="separate"/>
      </w:r>
      <w:r>
        <w:rPr>
          <w:rFonts w:eastAsia="宋体"/>
          <w:sz w:val="24"/>
        </w:rPr>
        <w:t>28</w:t>
      </w:r>
      <w:r>
        <w:rPr>
          <w:rFonts w:eastAsia="宋体"/>
          <w:sz w:val="24"/>
        </w:rPr>
        <w:fldChar w:fldCharType="end"/>
      </w:r>
      <w:r>
        <w:rPr>
          <w:rFonts w:eastAsia="宋体"/>
          <w:sz w:val="24"/>
        </w:rPr>
        <w:fldChar w:fldCharType="end"/>
      </w:r>
    </w:p>
    <w:p w14:paraId="06B48C70">
      <w:pPr>
        <w:pStyle w:val="15"/>
        <w:rPr>
          <w:rFonts w:asciiTheme="minorHAnsi" w:hAnsiTheme="minorHAnsi" w:cstheme="minorBidi"/>
          <w:bCs w:val="0"/>
          <w:szCs w:val="22"/>
        </w:rPr>
      </w:pPr>
      <w:r>
        <w:fldChar w:fldCharType="begin"/>
      </w:r>
      <w:r>
        <w:instrText xml:space="preserve"> HYPERLINK \l "_Toc425712725" </w:instrText>
      </w:r>
      <w:r>
        <w:fldChar w:fldCharType="separate"/>
      </w:r>
      <w:r>
        <w:rPr>
          <w:rStyle w:val="26"/>
          <w:rFonts w:hint="eastAsia" w:cs="宋体"/>
        </w:rPr>
        <w:t>第十一章</w:t>
      </w:r>
      <w:r>
        <w:rPr>
          <w:rStyle w:val="26"/>
          <w:rFonts w:cs="宋体"/>
        </w:rPr>
        <w:t xml:space="preserve">   </w:t>
      </w:r>
      <w:r>
        <w:rPr>
          <w:rStyle w:val="26"/>
          <w:rFonts w:hint="eastAsia" w:cs="宋体"/>
        </w:rPr>
        <w:t>修改章程</w:t>
      </w:r>
      <w:r>
        <w:tab/>
      </w:r>
      <w:r>
        <w:fldChar w:fldCharType="begin"/>
      </w:r>
      <w:r>
        <w:instrText xml:space="preserve"> PAGEREF _Toc425712725 \h </w:instrText>
      </w:r>
      <w:r>
        <w:fldChar w:fldCharType="separate"/>
      </w:r>
      <w:r>
        <w:t>30</w:t>
      </w:r>
      <w:r>
        <w:fldChar w:fldCharType="end"/>
      </w:r>
      <w:r>
        <w:fldChar w:fldCharType="end"/>
      </w:r>
    </w:p>
    <w:p w14:paraId="1EFDCA94">
      <w:pPr>
        <w:pStyle w:val="15"/>
        <w:rPr>
          <w:rFonts w:asciiTheme="minorHAnsi" w:hAnsiTheme="minorHAnsi" w:cstheme="minorBidi"/>
          <w:bCs w:val="0"/>
          <w:szCs w:val="22"/>
        </w:rPr>
      </w:pPr>
      <w:r>
        <w:fldChar w:fldCharType="begin"/>
      </w:r>
      <w:r>
        <w:instrText xml:space="preserve"> HYPERLINK \l "_Toc425712726" </w:instrText>
      </w:r>
      <w:r>
        <w:fldChar w:fldCharType="separate"/>
      </w:r>
      <w:r>
        <w:rPr>
          <w:rStyle w:val="26"/>
          <w:rFonts w:hint="eastAsia" w:cs="宋体"/>
        </w:rPr>
        <w:t>第十二章</w:t>
      </w:r>
      <w:r>
        <w:rPr>
          <w:rStyle w:val="26"/>
          <w:rFonts w:cs="宋体"/>
        </w:rPr>
        <w:t xml:space="preserve">   </w:t>
      </w:r>
      <w:r>
        <w:rPr>
          <w:rStyle w:val="26"/>
          <w:rFonts w:hint="eastAsia" w:cs="宋体"/>
        </w:rPr>
        <w:t>附</w:t>
      </w:r>
      <w:r>
        <w:rPr>
          <w:rStyle w:val="26"/>
          <w:rFonts w:cs="宋体"/>
        </w:rPr>
        <w:t xml:space="preserve">  </w:t>
      </w:r>
      <w:r>
        <w:rPr>
          <w:rStyle w:val="26"/>
          <w:rFonts w:hint="eastAsia" w:cs="宋体"/>
        </w:rPr>
        <w:t>则</w:t>
      </w:r>
      <w:r>
        <w:tab/>
      </w:r>
      <w:r>
        <w:fldChar w:fldCharType="begin"/>
      </w:r>
      <w:r>
        <w:instrText xml:space="preserve"> PAGEREF _Toc425712726 \h </w:instrText>
      </w:r>
      <w:r>
        <w:fldChar w:fldCharType="separate"/>
      </w:r>
      <w:r>
        <w:t>30</w:t>
      </w:r>
      <w:r>
        <w:fldChar w:fldCharType="end"/>
      </w:r>
      <w:r>
        <w:fldChar w:fldCharType="end"/>
      </w:r>
    </w:p>
    <w:p w14:paraId="5C0CF1D4">
      <w:pPr>
        <w:spacing w:line="360" w:lineRule="auto"/>
        <w:jc w:val="center"/>
        <w:rPr>
          <w:rFonts w:ascii="黑体" w:hAnsi="黑体" w:eastAsia="黑体" w:cs="黑体"/>
          <w:b/>
          <w:bCs/>
          <w:kern w:val="44"/>
          <w:sz w:val="30"/>
          <w:szCs w:val="30"/>
        </w:rPr>
        <w:sectPr>
          <w:footerReference r:id="rId3" w:type="even"/>
          <w:pgSz w:w="11906" w:h="16838"/>
          <w:pgMar w:top="1440" w:right="1800" w:bottom="1440" w:left="1800" w:header="851" w:footer="992" w:gutter="0"/>
          <w:cols w:space="425" w:num="1"/>
          <w:docGrid w:type="lines" w:linePitch="312" w:charSpace="0"/>
        </w:sectPr>
      </w:pPr>
      <w:r>
        <w:rPr>
          <w:rFonts w:cs="黑体"/>
          <w:b/>
          <w:color w:val="000000" w:themeColor="text1"/>
          <w:kern w:val="44"/>
          <w:sz w:val="24"/>
          <w:szCs w:val="30"/>
        </w:rPr>
        <w:fldChar w:fldCharType="end"/>
      </w:r>
    </w:p>
    <w:p w14:paraId="4F340AD6">
      <w:pPr>
        <w:spacing w:line="360" w:lineRule="auto"/>
        <w:jc w:val="center"/>
        <w:rPr>
          <w:rFonts w:ascii="宋体" w:hAnsi="宋体" w:cs="黑体"/>
          <w:b/>
          <w:bCs/>
          <w:kern w:val="44"/>
          <w:sz w:val="32"/>
          <w:szCs w:val="32"/>
        </w:rPr>
      </w:pPr>
      <w:r>
        <w:rPr>
          <w:rFonts w:ascii="宋体" w:hAnsi="宋体" w:cs="黑体"/>
          <w:b/>
          <w:bCs/>
          <w:kern w:val="44"/>
          <w:sz w:val="32"/>
          <w:szCs w:val="32"/>
        </w:rPr>
        <w:t>【】</w:t>
      </w:r>
      <w:r>
        <w:rPr>
          <w:rFonts w:hint="eastAsia" w:ascii="宋体" w:hAnsi="宋体" w:cs="黑体"/>
          <w:b/>
          <w:bCs/>
          <w:kern w:val="44"/>
          <w:sz w:val="32"/>
          <w:szCs w:val="32"/>
        </w:rPr>
        <w:t>股份有限公司章程</w:t>
      </w:r>
    </w:p>
    <w:p w14:paraId="7D92862D">
      <w:pPr>
        <w:pStyle w:val="2"/>
        <w:rPr>
          <w:rFonts w:ascii="宋体"/>
          <w:sz w:val="28"/>
          <w:szCs w:val="28"/>
        </w:rPr>
      </w:pPr>
      <w:bookmarkStart w:id="0" w:name="_Toc425712696"/>
      <w:bookmarkStart w:id="1" w:name="_Toc314734385"/>
      <w:r>
        <w:rPr>
          <w:rFonts w:hint="eastAsia" w:ascii="宋体" w:hAnsi="宋体" w:cs="宋体"/>
          <w:sz w:val="28"/>
          <w:szCs w:val="28"/>
        </w:rPr>
        <w:t>第一章   总  则</w:t>
      </w:r>
      <w:bookmarkEnd w:id="0"/>
      <w:bookmarkEnd w:id="1"/>
    </w:p>
    <w:p w14:paraId="6195D45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第一条  </w:t>
      </w:r>
      <w:r>
        <w:rPr>
          <w:rFonts w:hint="eastAsia" w:ascii="宋体" w:hAnsi="宋体" w:cs="宋体"/>
          <w:sz w:val="24"/>
          <w:szCs w:val="24"/>
        </w:rPr>
        <w:t>为维护</w:t>
      </w:r>
      <w:r>
        <w:rPr>
          <w:rFonts w:ascii="宋体" w:hAnsi="宋体" w:cs="宋体"/>
          <w:bCs/>
          <w:sz w:val="24"/>
          <w:szCs w:val="24"/>
        </w:rPr>
        <w:t>【】</w:t>
      </w:r>
      <w:r>
        <w:rPr>
          <w:rFonts w:hint="eastAsia" w:ascii="宋体" w:hAnsi="宋体" w:cs="宋体"/>
          <w:bCs/>
          <w:sz w:val="24"/>
          <w:szCs w:val="24"/>
        </w:rPr>
        <w:t>股份有限公司</w:t>
      </w:r>
      <w:r>
        <w:rPr>
          <w:rFonts w:hint="eastAsia" w:ascii="宋体" w:hAnsi="宋体" w:cs="宋体"/>
          <w:sz w:val="24"/>
          <w:szCs w:val="24"/>
        </w:rPr>
        <w:t>、股东和债权人的合法权益，规范公司的组织和行为，根据《中华人民共和国公司法》（以下简称《公司法》）、《中华人民共和国证券法》（以下简称《证券法》）等法律法规的相关规定和其他有关规定，制定本章程。</w:t>
      </w:r>
    </w:p>
    <w:p w14:paraId="4616B5BE">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第二条  </w:t>
      </w:r>
      <w:r>
        <w:rPr>
          <w:rFonts w:hint="eastAsia" w:ascii="宋体" w:hAnsi="宋体" w:cs="宋体"/>
          <w:sz w:val="24"/>
          <w:szCs w:val="24"/>
        </w:rPr>
        <w:t>公司系依照《公司法》等法律法规、规范性文件和其他有关规定成立的股份有限公司（以下简称“公司”）。</w:t>
      </w:r>
    </w:p>
    <w:p w14:paraId="1E4BEAFB">
      <w:pPr>
        <w:spacing w:line="360" w:lineRule="auto"/>
        <w:ind w:firstLine="480" w:firstLineChars="200"/>
        <w:rPr>
          <w:rFonts w:ascii="宋体" w:hAnsi="宋体" w:cs="宋体"/>
          <w:sz w:val="24"/>
          <w:szCs w:val="24"/>
        </w:rPr>
      </w:pPr>
      <w:r>
        <w:rPr>
          <w:rFonts w:hint="eastAsia" w:ascii="宋体" w:hAnsi="宋体" w:cs="宋体"/>
          <w:sz w:val="24"/>
          <w:szCs w:val="24"/>
        </w:rPr>
        <w:t>公司由</w:t>
      </w:r>
      <w:r>
        <w:rPr>
          <w:rFonts w:ascii="宋体" w:hAnsi="宋体" w:cs="宋体"/>
          <w:sz w:val="24"/>
          <w:szCs w:val="24"/>
        </w:rPr>
        <w:t>【】</w:t>
      </w:r>
      <w:r>
        <w:rPr>
          <w:rFonts w:hint="eastAsia" w:ascii="宋体" w:hAnsi="宋体" w:cs="宋体"/>
          <w:sz w:val="24"/>
          <w:szCs w:val="24"/>
        </w:rPr>
        <w:t>有限公司依法整体变更设立，在</w:t>
      </w:r>
      <w:r>
        <w:rPr>
          <w:rFonts w:ascii="宋体" w:hAnsi="宋体" w:cs="宋体"/>
          <w:sz w:val="24"/>
          <w:szCs w:val="24"/>
        </w:rPr>
        <w:t>【】</w:t>
      </w:r>
      <w:r>
        <w:rPr>
          <w:rFonts w:hint="eastAsia" w:ascii="宋体" w:hAnsi="宋体" w:cs="宋体"/>
          <w:sz w:val="24"/>
          <w:szCs w:val="24"/>
        </w:rPr>
        <w:t>注册登记。</w:t>
      </w:r>
    </w:p>
    <w:p w14:paraId="19E49334">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第三条  </w:t>
      </w:r>
      <w:r>
        <w:rPr>
          <w:rFonts w:hint="eastAsia" w:ascii="宋体" w:hAnsi="宋体" w:cs="宋体"/>
          <w:sz w:val="24"/>
          <w:szCs w:val="24"/>
        </w:rPr>
        <w:t>公司名称：</w:t>
      </w:r>
      <w:r>
        <w:rPr>
          <w:rFonts w:ascii="宋体" w:hAnsi="宋体" w:cs="宋体"/>
          <w:bCs/>
          <w:sz w:val="24"/>
          <w:szCs w:val="24"/>
        </w:rPr>
        <w:t>【】</w:t>
      </w:r>
      <w:r>
        <w:rPr>
          <w:rFonts w:hint="eastAsia" w:ascii="宋体" w:hAnsi="宋体" w:cs="宋体"/>
          <w:bCs/>
          <w:sz w:val="24"/>
          <w:szCs w:val="24"/>
        </w:rPr>
        <w:t>股份有限公司</w:t>
      </w:r>
      <w:r>
        <w:rPr>
          <w:rFonts w:hint="eastAsia" w:ascii="宋体" w:hAnsi="宋体" w:cs="宋体"/>
          <w:sz w:val="24"/>
          <w:szCs w:val="24"/>
        </w:rPr>
        <w:t>。</w:t>
      </w:r>
    </w:p>
    <w:p w14:paraId="372991E1">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第四条  </w:t>
      </w:r>
      <w:r>
        <w:rPr>
          <w:rFonts w:hint="eastAsia" w:ascii="宋体" w:hAnsi="宋体" w:cs="宋体"/>
          <w:sz w:val="24"/>
          <w:szCs w:val="24"/>
        </w:rPr>
        <w:t>公司住所：</w:t>
      </w:r>
      <w:r>
        <w:rPr>
          <w:rFonts w:ascii="宋体" w:hAnsi="宋体"/>
          <w:sz w:val="24"/>
          <w:szCs w:val="24"/>
        </w:rPr>
        <w:t>【】</w:t>
      </w:r>
      <w:r>
        <w:rPr>
          <w:rFonts w:hint="eastAsia" w:ascii="宋体" w:hAnsi="宋体"/>
          <w:sz w:val="24"/>
          <w:szCs w:val="24"/>
        </w:rPr>
        <w:t>。</w:t>
      </w:r>
    </w:p>
    <w:p w14:paraId="02FC280F">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第五条  </w:t>
      </w:r>
      <w:r>
        <w:rPr>
          <w:rFonts w:hint="eastAsia" w:ascii="宋体" w:hAnsi="宋体" w:cs="宋体"/>
          <w:sz w:val="24"/>
          <w:szCs w:val="24"/>
        </w:rPr>
        <w:t>公司注册资本为人民币</w:t>
      </w:r>
      <w:r>
        <w:rPr>
          <w:rFonts w:ascii="宋体" w:hAnsi="宋体" w:cs="宋体"/>
          <w:sz w:val="24"/>
          <w:szCs w:val="24"/>
        </w:rPr>
        <w:t>【】</w:t>
      </w:r>
      <w:r>
        <w:rPr>
          <w:rFonts w:hint="eastAsia" w:ascii="宋体" w:hAnsi="宋体" w:cs="宋体"/>
          <w:sz w:val="24"/>
          <w:szCs w:val="24"/>
        </w:rPr>
        <w:t>万元。</w:t>
      </w:r>
    </w:p>
    <w:p w14:paraId="1786AB7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第六条  </w:t>
      </w:r>
      <w:r>
        <w:rPr>
          <w:rFonts w:hint="eastAsia" w:ascii="宋体" w:hAnsi="宋体" w:cs="宋体"/>
          <w:sz w:val="24"/>
          <w:szCs w:val="24"/>
        </w:rPr>
        <w:t>公司为</w:t>
      </w:r>
      <w:r>
        <w:rPr>
          <w:rFonts w:ascii="宋体" w:hAnsi="宋体" w:cs="宋体"/>
          <w:sz w:val="24"/>
          <w:szCs w:val="24"/>
        </w:rPr>
        <w:t>【</w:t>
      </w:r>
      <w:r>
        <w:rPr>
          <w:rFonts w:hint="eastAsia" w:ascii="宋体" w:hAnsi="宋体" w:cs="宋体"/>
          <w:sz w:val="24"/>
          <w:szCs w:val="24"/>
        </w:rPr>
        <w:t>永久存续</w:t>
      </w:r>
      <w:r>
        <w:rPr>
          <w:rFonts w:ascii="宋体" w:hAnsi="宋体" w:cs="宋体"/>
          <w:sz w:val="24"/>
          <w:szCs w:val="24"/>
        </w:rPr>
        <w:t>】</w:t>
      </w:r>
      <w:r>
        <w:rPr>
          <w:rFonts w:hint="eastAsia" w:ascii="宋体" w:hAnsi="宋体" w:cs="宋体"/>
          <w:sz w:val="24"/>
          <w:szCs w:val="24"/>
        </w:rPr>
        <w:t>的股份有限公司。</w:t>
      </w:r>
    </w:p>
    <w:p w14:paraId="1FAEF0D4">
      <w:pPr>
        <w:spacing w:line="360" w:lineRule="auto"/>
        <w:ind w:firstLine="482" w:firstLineChars="200"/>
        <w:rPr>
          <w:rFonts w:ascii="宋体" w:cs="宋体"/>
          <w:sz w:val="24"/>
          <w:szCs w:val="24"/>
        </w:rPr>
      </w:pPr>
      <w:r>
        <w:rPr>
          <w:rFonts w:hint="eastAsia" w:ascii="宋体" w:hAnsi="宋体" w:cs="宋体"/>
          <w:b/>
          <w:bCs/>
          <w:sz w:val="24"/>
          <w:szCs w:val="24"/>
        </w:rPr>
        <w:t xml:space="preserve">第七条  </w:t>
      </w:r>
      <w:r>
        <w:rPr>
          <w:rFonts w:ascii="宋体" w:hAnsi="宋体" w:cs="宋体"/>
          <w:b/>
          <w:bCs/>
          <w:sz w:val="24"/>
          <w:szCs w:val="24"/>
        </w:rPr>
        <w:t>【</w:t>
      </w:r>
      <w:r>
        <w:rPr>
          <w:rFonts w:hint="eastAsia" w:ascii="宋体" w:hAnsi="宋体" w:cs="宋体"/>
          <w:sz w:val="24"/>
          <w:szCs w:val="24"/>
        </w:rPr>
        <w:t>董事长</w:t>
      </w:r>
      <w:r>
        <w:rPr>
          <w:rFonts w:ascii="宋体" w:hAnsi="宋体" w:cs="宋体"/>
          <w:sz w:val="24"/>
          <w:szCs w:val="24"/>
        </w:rPr>
        <w:t>】</w:t>
      </w:r>
      <w:r>
        <w:rPr>
          <w:rFonts w:hint="eastAsia" w:ascii="宋体" w:hAnsi="宋体" w:cs="宋体"/>
          <w:sz w:val="24"/>
          <w:szCs w:val="24"/>
        </w:rPr>
        <w:t>为公司的法定代表人。</w:t>
      </w:r>
    </w:p>
    <w:p w14:paraId="276D2B4E">
      <w:pPr>
        <w:spacing w:line="360" w:lineRule="auto"/>
        <w:ind w:firstLine="472" w:firstLineChars="196"/>
        <w:rPr>
          <w:rFonts w:ascii="宋体" w:cs="Times New Roman"/>
          <w:sz w:val="24"/>
          <w:szCs w:val="24"/>
        </w:rPr>
      </w:pPr>
      <w:r>
        <w:rPr>
          <w:rFonts w:hint="eastAsia" w:ascii="宋体" w:hAnsi="宋体" w:cs="宋体"/>
          <w:b/>
          <w:bCs/>
          <w:sz w:val="24"/>
          <w:szCs w:val="24"/>
        </w:rPr>
        <w:t xml:space="preserve">第八条  </w:t>
      </w:r>
      <w:r>
        <w:rPr>
          <w:rFonts w:hint="eastAsia" w:ascii="宋体" w:hAnsi="宋体" w:cs="宋体"/>
          <w:sz w:val="24"/>
          <w:szCs w:val="24"/>
        </w:rPr>
        <w:t>公司全部资产分为等额股份，股东以其认购的股份为限对公司承担责任，公司以其全部资产对公司债务承担责任。</w:t>
      </w:r>
    </w:p>
    <w:p w14:paraId="7CA91209">
      <w:pPr>
        <w:spacing w:line="360" w:lineRule="auto"/>
        <w:ind w:firstLine="472" w:firstLineChars="196"/>
        <w:rPr>
          <w:rFonts w:ascii="宋体" w:cs="Times New Roman"/>
          <w:sz w:val="24"/>
          <w:szCs w:val="24"/>
        </w:rPr>
      </w:pPr>
      <w:r>
        <w:rPr>
          <w:rFonts w:hint="eastAsia" w:ascii="宋体" w:hAnsi="宋体" w:cs="宋体"/>
          <w:b/>
          <w:bCs/>
          <w:sz w:val="24"/>
          <w:szCs w:val="24"/>
        </w:rPr>
        <w:t xml:space="preserve">第九条  </w:t>
      </w:r>
      <w:r>
        <w:rPr>
          <w:rFonts w:hint="eastAsia" w:ascii="宋体" w:hAnsi="宋体" w:cs="宋体"/>
          <w:sz w:val="24"/>
          <w:szCs w:val="24"/>
        </w:rPr>
        <w:t>本公司章程自生效之日起，即成为规范公司的组织与行为、公司与股东、股东与股东之间权利与义务关系的具有法律约束力的文件，对公司、股东、董事、监事、高级管理人员具有法律约束力的文件。依据本章程，股东可以起诉股东，股东可以起诉公司董事、监事、总经理和其他高级管理人员，股东可以起诉公司，公司可以起诉股东、董事、监事、总经理和其他高级管理人员。</w:t>
      </w:r>
    </w:p>
    <w:p w14:paraId="58812D50">
      <w:pPr>
        <w:spacing w:line="360" w:lineRule="auto"/>
        <w:ind w:firstLine="472" w:firstLineChars="196"/>
        <w:rPr>
          <w:rFonts w:ascii="宋体" w:cs="Times New Roman"/>
          <w:sz w:val="24"/>
          <w:szCs w:val="24"/>
        </w:rPr>
      </w:pPr>
      <w:r>
        <w:rPr>
          <w:rFonts w:hint="eastAsia" w:ascii="宋体" w:hAnsi="宋体" w:cs="宋体"/>
          <w:b/>
          <w:bCs/>
          <w:sz w:val="24"/>
          <w:szCs w:val="24"/>
        </w:rPr>
        <w:t xml:space="preserve">第十条  </w:t>
      </w:r>
      <w:r>
        <w:rPr>
          <w:rFonts w:hint="eastAsia" w:ascii="宋体" w:hAnsi="宋体" w:cs="宋体"/>
          <w:sz w:val="24"/>
          <w:szCs w:val="24"/>
        </w:rPr>
        <w:t>本章程所称其他高级管理人员是指公司的副总经理、董事会秘书、主管财务的负责人。</w:t>
      </w:r>
      <w:bookmarkStart w:id="2" w:name="_Toc287717009"/>
      <w:bookmarkStart w:id="3" w:name="_Toc137879458"/>
      <w:bookmarkStart w:id="4" w:name="_Toc314734386"/>
      <w:bookmarkStart w:id="5" w:name="_Toc262635787"/>
      <w:bookmarkStart w:id="6" w:name="_Toc215991581"/>
    </w:p>
    <w:p w14:paraId="7642AC50">
      <w:pPr>
        <w:pStyle w:val="2"/>
        <w:rPr>
          <w:rFonts w:ascii="宋体" w:hAnsi="宋体" w:cs="宋体"/>
          <w:sz w:val="28"/>
          <w:szCs w:val="28"/>
        </w:rPr>
      </w:pPr>
      <w:bookmarkStart w:id="7" w:name="_Toc425712697"/>
      <w:r>
        <w:rPr>
          <w:rFonts w:hint="eastAsia" w:ascii="宋体" w:hAnsi="宋体" w:cs="宋体"/>
          <w:sz w:val="28"/>
          <w:szCs w:val="28"/>
        </w:rPr>
        <w:t>第二章   经营宗旨和经营范围</w:t>
      </w:r>
      <w:bookmarkEnd w:id="2"/>
      <w:bookmarkEnd w:id="3"/>
      <w:bookmarkEnd w:id="4"/>
      <w:bookmarkEnd w:id="5"/>
      <w:bookmarkEnd w:id="6"/>
      <w:bookmarkEnd w:id="7"/>
    </w:p>
    <w:p w14:paraId="4628A967">
      <w:pPr>
        <w:spacing w:line="360" w:lineRule="auto"/>
        <w:ind w:firstLine="482" w:firstLineChars="200"/>
        <w:rPr>
          <w:rFonts w:ascii="宋体" w:hAnsi="宋体" w:cs="宋体"/>
          <w:sz w:val="24"/>
          <w:szCs w:val="24"/>
        </w:rPr>
      </w:pPr>
      <w:r>
        <w:rPr>
          <w:rFonts w:hint="eastAsia" w:ascii="宋体" w:hAnsi="宋体" w:cs="宋体"/>
          <w:b/>
          <w:sz w:val="24"/>
          <w:szCs w:val="24"/>
        </w:rPr>
        <w:t>第十一条</w:t>
      </w:r>
      <w:r>
        <w:rPr>
          <w:rFonts w:hint="eastAsia" w:ascii="宋体" w:hAnsi="宋体" w:cs="宋体"/>
          <w:sz w:val="24"/>
          <w:szCs w:val="24"/>
        </w:rPr>
        <w:t xml:space="preserve">  股份公司的经营宗旨：按照国家法律、法规和政策的规定，充分利用公司拥有的资金、人力和物力，最大限度的提高公司经济效益和社会效益，回报股东，为职工谋取福利。</w:t>
      </w:r>
    </w:p>
    <w:p w14:paraId="6A6C0AC2">
      <w:pPr>
        <w:spacing w:line="360" w:lineRule="auto"/>
        <w:ind w:firstLine="482" w:firstLineChars="200"/>
        <w:rPr>
          <w:rFonts w:ascii="宋体" w:hAnsi="宋体" w:cs="宋体"/>
          <w:sz w:val="24"/>
          <w:szCs w:val="24"/>
        </w:rPr>
      </w:pPr>
      <w:r>
        <w:rPr>
          <w:rFonts w:hint="eastAsia" w:ascii="宋体" w:hAnsi="宋体" w:cs="宋体"/>
          <w:b/>
          <w:bCs/>
          <w:sz w:val="24"/>
          <w:szCs w:val="24"/>
        </w:rPr>
        <w:t xml:space="preserve">第十二条  </w:t>
      </w:r>
      <w:r>
        <w:rPr>
          <w:rFonts w:hint="eastAsia" w:ascii="宋体" w:hAnsi="宋体" w:cs="宋体"/>
          <w:sz w:val="24"/>
          <w:szCs w:val="24"/>
        </w:rPr>
        <w:t>公司的经营范围为：</w:t>
      </w:r>
      <w:r>
        <w:rPr>
          <w:rFonts w:ascii="宋体" w:hAnsi="宋体" w:cs="宋体"/>
          <w:sz w:val="24"/>
          <w:szCs w:val="24"/>
        </w:rPr>
        <w:t>【】。</w:t>
      </w:r>
    </w:p>
    <w:p w14:paraId="1CD621D4">
      <w:pPr>
        <w:pStyle w:val="2"/>
        <w:rPr>
          <w:rFonts w:ascii="宋体" w:hAnsi="宋体" w:cs="宋体"/>
          <w:sz w:val="28"/>
          <w:szCs w:val="28"/>
        </w:rPr>
      </w:pPr>
      <w:bookmarkStart w:id="8" w:name="_Toc425712698"/>
      <w:bookmarkStart w:id="9" w:name="_Toc137879459"/>
      <w:bookmarkStart w:id="10" w:name="_Toc215991582"/>
      <w:bookmarkStart w:id="11" w:name="_Toc262635788"/>
      <w:bookmarkStart w:id="12" w:name="_Toc287717010"/>
      <w:bookmarkStart w:id="13" w:name="_Toc314734387"/>
      <w:r>
        <w:rPr>
          <w:rFonts w:hint="eastAsia" w:ascii="宋体" w:hAnsi="宋体" w:cs="宋体"/>
          <w:sz w:val="28"/>
          <w:szCs w:val="28"/>
        </w:rPr>
        <w:t>第三章   股  份</w:t>
      </w:r>
      <w:bookmarkEnd w:id="8"/>
      <w:bookmarkEnd w:id="9"/>
      <w:bookmarkEnd w:id="10"/>
      <w:bookmarkEnd w:id="11"/>
      <w:bookmarkEnd w:id="12"/>
      <w:bookmarkEnd w:id="13"/>
    </w:p>
    <w:p w14:paraId="091DDAB5">
      <w:pPr>
        <w:pStyle w:val="3"/>
      </w:pPr>
      <w:bookmarkStart w:id="14" w:name="_Toc425712699"/>
      <w:bookmarkStart w:id="15" w:name="_Toc314734388"/>
      <w:bookmarkStart w:id="16" w:name="_Toc287717011"/>
      <w:bookmarkStart w:id="17" w:name="_Toc137879460"/>
      <w:bookmarkStart w:id="18" w:name="_Toc262635789"/>
      <w:bookmarkStart w:id="19" w:name="_Toc215991583"/>
      <w:r>
        <w:rPr>
          <w:rFonts w:hint="eastAsia" w:cs="宋体"/>
        </w:rPr>
        <w:t>第一节  股份发行</w:t>
      </w:r>
      <w:bookmarkEnd w:id="14"/>
      <w:bookmarkEnd w:id="15"/>
      <w:bookmarkEnd w:id="16"/>
      <w:bookmarkEnd w:id="17"/>
      <w:bookmarkEnd w:id="18"/>
      <w:bookmarkEnd w:id="19"/>
    </w:p>
    <w:p w14:paraId="28B5358E">
      <w:pPr>
        <w:spacing w:line="360" w:lineRule="auto"/>
        <w:ind w:firstLine="480"/>
        <w:rPr>
          <w:rFonts w:ascii="宋体" w:cs="Times New Roman"/>
          <w:sz w:val="24"/>
          <w:szCs w:val="24"/>
        </w:rPr>
      </w:pPr>
      <w:r>
        <w:rPr>
          <w:rFonts w:hint="eastAsia" w:ascii="宋体" w:hAnsi="宋体" w:cs="宋体"/>
          <w:b/>
          <w:bCs/>
          <w:sz w:val="24"/>
          <w:szCs w:val="24"/>
        </w:rPr>
        <w:t xml:space="preserve">第十三条  </w:t>
      </w:r>
      <w:r>
        <w:rPr>
          <w:rFonts w:hint="eastAsia" w:ascii="宋体" w:hAnsi="宋体" w:cs="宋体"/>
          <w:sz w:val="24"/>
          <w:szCs w:val="24"/>
        </w:rPr>
        <w:t>公司的股份采取股票的形式。</w:t>
      </w:r>
    </w:p>
    <w:p w14:paraId="2BB15F3E">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第十四条  </w:t>
      </w:r>
      <w:r>
        <w:rPr>
          <w:rFonts w:hint="eastAsia" w:ascii="宋体" w:hAnsi="宋体" w:cs="宋体"/>
          <w:sz w:val="24"/>
          <w:szCs w:val="24"/>
        </w:rPr>
        <w:t>公司股份的发行，实行公开、公平、公正的原则，同种类的每一股份应当具有同等权利。</w:t>
      </w:r>
    </w:p>
    <w:p w14:paraId="5DC42B6A">
      <w:pPr>
        <w:spacing w:line="360" w:lineRule="auto"/>
        <w:ind w:firstLine="480" w:firstLineChars="200"/>
        <w:rPr>
          <w:rFonts w:ascii="宋体" w:cs="Times New Roman"/>
          <w:sz w:val="24"/>
          <w:szCs w:val="24"/>
        </w:rPr>
      </w:pPr>
      <w:r>
        <w:rPr>
          <w:rFonts w:hint="eastAsia" w:ascii="宋体" w:hAnsi="宋体" w:cs="宋体"/>
          <w:sz w:val="24"/>
          <w:szCs w:val="24"/>
        </w:rPr>
        <w:t>同次发行的同种类股票，每股的发行条件和价格应当相同；任何单位或者个人所认购的股份，每股应当支付相同价额。</w:t>
      </w:r>
    </w:p>
    <w:p w14:paraId="1AF0E2DE">
      <w:pPr>
        <w:spacing w:line="360" w:lineRule="auto"/>
        <w:ind w:firstLine="480"/>
        <w:rPr>
          <w:rFonts w:ascii="宋体" w:cs="宋体"/>
          <w:sz w:val="24"/>
          <w:szCs w:val="24"/>
        </w:rPr>
      </w:pPr>
      <w:r>
        <w:rPr>
          <w:rFonts w:hint="eastAsia" w:ascii="宋体" w:hAnsi="宋体" w:cs="宋体"/>
          <w:b/>
          <w:bCs/>
          <w:sz w:val="24"/>
          <w:szCs w:val="24"/>
        </w:rPr>
        <w:t xml:space="preserve">第十五条  </w:t>
      </w:r>
      <w:r>
        <w:rPr>
          <w:rFonts w:hint="eastAsia" w:ascii="宋体" w:hAnsi="宋体" w:cs="宋体"/>
          <w:sz w:val="24"/>
          <w:szCs w:val="24"/>
        </w:rPr>
        <w:t>公司发行的股票，以人民币标明面值，每股面值为</w:t>
      </w:r>
      <w:r>
        <w:rPr>
          <w:rFonts w:ascii="宋体" w:hAnsi="宋体" w:cs="宋体"/>
          <w:sz w:val="24"/>
          <w:szCs w:val="24"/>
        </w:rPr>
        <w:t>1</w:t>
      </w:r>
      <w:r>
        <w:rPr>
          <w:rFonts w:hint="eastAsia" w:ascii="宋体" w:hAnsi="宋体" w:cs="宋体"/>
          <w:sz w:val="24"/>
          <w:szCs w:val="24"/>
        </w:rPr>
        <w:t>元人民币。</w:t>
      </w:r>
    </w:p>
    <w:p w14:paraId="0AA6A729">
      <w:pPr>
        <w:spacing w:line="360" w:lineRule="auto"/>
        <w:ind w:firstLine="472" w:firstLineChars="196"/>
        <w:rPr>
          <w:rFonts w:ascii="宋体" w:cs="宋体"/>
          <w:sz w:val="24"/>
          <w:szCs w:val="24"/>
        </w:rPr>
      </w:pPr>
      <w:r>
        <w:rPr>
          <w:rFonts w:hint="eastAsia" w:ascii="宋体" w:hAnsi="宋体" w:cs="宋体"/>
          <w:b/>
          <w:bCs/>
          <w:sz w:val="24"/>
          <w:szCs w:val="24"/>
        </w:rPr>
        <w:t xml:space="preserve">第十六条  </w:t>
      </w:r>
      <w:r>
        <w:rPr>
          <w:rFonts w:hint="eastAsia" w:ascii="宋体" w:hAnsi="宋体" w:cs="宋体"/>
          <w:sz w:val="24"/>
          <w:szCs w:val="24"/>
        </w:rPr>
        <w:t>公司发起人的姓名（名称）、认购的股份数、认购比例和出资方式如下：</w:t>
      </w:r>
    </w:p>
    <w:tbl>
      <w:tblPr>
        <w:tblStyle w:val="21"/>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010"/>
        <w:gridCol w:w="2126"/>
        <w:gridCol w:w="1560"/>
        <w:gridCol w:w="1701"/>
      </w:tblGrid>
      <w:tr w14:paraId="210D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EB3A52">
            <w:pPr>
              <w:spacing w:line="360" w:lineRule="auto"/>
              <w:jc w:val="center"/>
              <w:rPr>
                <w:rFonts w:ascii="宋体" w:cs="Arial"/>
                <w:b/>
                <w:kern w:val="0"/>
              </w:rPr>
            </w:pPr>
            <w:r>
              <w:rPr>
                <w:rFonts w:hint="eastAsia" w:ascii="宋体" w:hAnsi="宋体" w:cs="Arial"/>
                <w:b/>
                <w:kern w:val="0"/>
              </w:rPr>
              <w:t>序号</w:t>
            </w:r>
          </w:p>
        </w:tc>
        <w:tc>
          <w:tcPr>
            <w:tcW w:w="2010" w:type="dxa"/>
            <w:vAlign w:val="center"/>
          </w:tcPr>
          <w:p w14:paraId="46093188">
            <w:pPr>
              <w:spacing w:line="360" w:lineRule="auto"/>
              <w:jc w:val="center"/>
              <w:rPr>
                <w:rFonts w:ascii="宋体"/>
                <w:b/>
              </w:rPr>
            </w:pPr>
            <w:r>
              <w:rPr>
                <w:rFonts w:hint="eastAsia" w:ascii="宋体" w:hAnsi="宋体"/>
                <w:b/>
              </w:rPr>
              <w:t>发起人姓名或名称</w:t>
            </w:r>
          </w:p>
        </w:tc>
        <w:tc>
          <w:tcPr>
            <w:tcW w:w="2126" w:type="dxa"/>
            <w:vAlign w:val="center"/>
          </w:tcPr>
          <w:p w14:paraId="272EA7F4">
            <w:pPr>
              <w:spacing w:line="360" w:lineRule="auto"/>
              <w:jc w:val="center"/>
              <w:rPr>
                <w:rFonts w:ascii="宋体"/>
                <w:b/>
              </w:rPr>
            </w:pPr>
            <w:r>
              <w:rPr>
                <w:rFonts w:hint="eastAsia" w:ascii="宋体" w:hAnsi="宋体"/>
                <w:b/>
              </w:rPr>
              <w:t>认购股份数量（万股）</w:t>
            </w:r>
          </w:p>
        </w:tc>
        <w:tc>
          <w:tcPr>
            <w:tcW w:w="1560" w:type="dxa"/>
            <w:vAlign w:val="center"/>
          </w:tcPr>
          <w:p w14:paraId="38EBBED4">
            <w:pPr>
              <w:spacing w:line="360" w:lineRule="auto"/>
              <w:jc w:val="center"/>
              <w:rPr>
                <w:rFonts w:ascii="宋体"/>
                <w:b/>
              </w:rPr>
            </w:pPr>
            <w:r>
              <w:rPr>
                <w:rFonts w:hint="eastAsia" w:ascii="宋体" w:hAnsi="宋体"/>
                <w:b/>
              </w:rPr>
              <w:t>认购比例（</w:t>
            </w:r>
            <w:r>
              <w:rPr>
                <w:rFonts w:ascii="宋体" w:hAnsi="宋体"/>
                <w:b/>
              </w:rPr>
              <w:t>%</w:t>
            </w:r>
            <w:r>
              <w:rPr>
                <w:rFonts w:hint="eastAsia" w:ascii="宋体" w:hAnsi="宋体"/>
                <w:b/>
              </w:rPr>
              <w:t>）</w:t>
            </w:r>
          </w:p>
        </w:tc>
        <w:tc>
          <w:tcPr>
            <w:tcW w:w="1701" w:type="dxa"/>
            <w:vAlign w:val="center"/>
          </w:tcPr>
          <w:p w14:paraId="64AA1A7D">
            <w:pPr>
              <w:spacing w:line="360" w:lineRule="auto"/>
              <w:jc w:val="center"/>
              <w:rPr>
                <w:rFonts w:ascii="宋体"/>
                <w:b/>
              </w:rPr>
            </w:pPr>
            <w:r>
              <w:rPr>
                <w:rFonts w:hint="eastAsia" w:ascii="宋体" w:hAnsi="宋体"/>
                <w:b/>
              </w:rPr>
              <w:t>出资方式</w:t>
            </w:r>
          </w:p>
        </w:tc>
      </w:tr>
      <w:tr w14:paraId="773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B2D93AC">
            <w:pPr>
              <w:spacing w:line="360" w:lineRule="auto"/>
              <w:jc w:val="center"/>
              <w:rPr>
                <w:rFonts w:ascii="宋体" w:hAnsi="宋体" w:cs="Arial"/>
                <w:kern w:val="0"/>
              </w:rPr>
            </w:pPr>
            <w:r>
              <w:rPr>
                <w:rFonts w:ascii="宋体" w:hAnsi="宋体" w:cs="Arial"/>
                <w:kern w:val="0"/>
              </w:rPr>
              <w:t>1</w:t>
            </w:r>
          </w:p>
        </w:tc>
        <w:tc>
          <w:tcPr>
            <w:tcW w:w="2010" w:type="dxa"/>
            <w:vAlign w:val="center"/>
          </w:tcPr>
          <w:p w14:paraId="1421453A">
            <w:pPr>
              <w:spacing w:line="360" w:lineRule="auto"/>
              <w:jc w:val="center"/>
              <w:rPr>
                <w:rFonts w:ascii="宋体"/>
              </w:rPr>
            </w:pPr>
          </w:p>
        </w:tc>
        <w:tc>
          <w:tcPr>
            <w:tcW w:w="2126" w:type="dxa"/>
            <w:vAlign w:val="center"/>
          </w:tcPr>
          <w:p w14:paraId="7D543605">
            <w:pPr>
              <w:spacing w:line="360" w:lineRule="auto"/>
              <w:jc w:val="center"/>
              <w:rPr>
                <w:rFonts w:ascii="宋体" w:cs="Arial"/>
                <w:kern w:val="0"/>
              </w:rPr>
            </w:pPr>
          </w:p>
        </w:tc>
        <w:tc>
          <w:tcPr>
            <w:tcW w:w="1560" w:type="dxa"/>
            <w:vAlign w:val="center"/>
          </w:tcPr>
          <w:p w14:paraId="62D073B5">
            <w:pPr>
              <w:spacing w:line="360" w:lineRule="auto"/>
              <w:jc w:val="center"/>
              <w:rPr>
                <w:rFonts w:ascii="宋体"/>
              </w:rPr>
            </w:pPr>
          </w:p>
        </w:tc>
        <w:tc>
          <w:tcPr>
            <w:tcW w:w="1701" w:type="dxa"/>
            <w:vAlign w:val="center"/>
          </w:tcPr>
          <w:p w14:paraId="14D959D6">
            <w:pPr>
              <w:spacing w:line="360" w:lineRule="auto"/>
              <w:jc w:val="center"/>
              <w:rPr>
                <w:rFonts w:ascii="宋体" w:cs="Arial"/>
                <w:kern w:val="0"/>
              </w:rPr>
            </w:pPr>
          </w:p>
        </w:tc>
      </w:tr>
      <w:tr w14:paraId="28A0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043AEB">
            <w:pPr>
              <w:spacing w:line="360" w:lineRule="auto"/>
              <w:jc w:val="center"/>
              <w:rPr>
                <w:rFonts w:ascii="宋体" w:hAnsi="宋体" w:cs="Arial"/>
                <w:kern w:val="0"/>
              </w:rPr>
            </w:pPr>
            <w:r>
              <w:rPr>
                <w:rFonts w:ascii="宋体" w:hAnsi="宋体" w:cs="Arial"/>
                <w:kern w:val="0"/>
              </w:rPr>
              <w:t>2</w:t>
            </w:r>
          </w:p>
        </w:tc>
        <w:tc>
          <w:tcPr>
            <w:tcW w:w="2010" w:type="dxa"/>
            <w:vAlign w:val="center"/>
          </w:tcPr>
          <w:p w14:paraId="1CC28DB1">
            <w:pPr>
              <w:spacing w:line="360" w:lineRule="auto"/>
              <w:jc w:val="center"/>
              <w:rPr>
                <w:rFonts w:ascii="宋体"/>
              </w:rPr>
            </w:pPr>
          </w:p>
        </w:tc>
        <w:tc>
          <w:tcPr>
            <w:tcW w:w="2126" w:type="dxa"/>
            <w:vAlign w:val="center"/>
          </w:tcPr>
          <w:p w14:paraId="452150C3">
            <w:pPr>
              <w:spacing w:line="360" w:lineRule="auto"/>
              <w:jc w:val="center"/>
              <w:rPr>
                <w:rFonts w:ascii="宋体" w:cs="Arial"/>
                <w:kern w:val="0"/>
              </w:rPr>
            </w:pPr>
          </w:p>
        </w:tc>
        <w:tc>
          <w:tcPr>
            <w:tcW w:w="1560" w:type="dxa"/>
            <w:vAlign w:val="center"/>
          </w:tcPr>
          <w:p w14:paraId="131A31D2">
            <w:pPr>
              <w:spacing w:line="360" w:lineRule="auto"/>
              <w:jc w:val="center"/>
              <w:rPr>
                <w:rFonts w:ascii="宋体"/>
              </w:rPr>
            </w:pPr>
          </w:p>
        </w:tc>
        <w:tc>
          <w:tcPr>
            <w:tcW w:w="1701" w:type="dxa"/>
            <w:vAlign w:val="center"/>
          </w:tcPr>
          <w:p w14:paraId="43CF75D3">
            <w:pPr>
              <w:spacing w:line="360" w:lineRule="auto"/>
              <w:jc w:val="center"/>
              <w:rPr>
                <w:rFonts w:ascii="宋体" w:cs="Arial"/>
                <w:kern w:val="0"/>
              </w:rPr>
            </w:pPr>
          </w:p>
        </w:tc>
      </w:tr>
      <w:tr w14:paraId="5429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98E31BE">
            <w:pPr>
              <w:spacing w:line="360" w:lineRule="auto"/>
              <w:jc w:val="center"/>
              <w:rPr>
                <w:rFonts w:ascii="宋体" w:hAnsi="宋体" w:cs="Arial"/>
                <w:kern w:val="0"/>
              </w:rPr>
            </w:pPr>
            <w:r>
              <w:rPr>
                <w:rFonts w:ascii="宋体" w:hAnsi="宋体" w:cs="Arial"/>
                <w:kern w:val="0"/>
              </w:rPr>
              <w:t>3</w:t>
            </w:r>
          </w:p>
        </w:tc>
        <w:tc>
          <w:tcPr>
            <w:tcW w:w="2010" w:type="dxa"/>
            <w:vAlign w:val="center"/>
          </w:tcPr>
          <w:p w14:paraId="604636E2">
            <w:pPr>
              <w:spacing w:line="360" w:lineRule="auto"/>
              <w:jc w:val="center"/>
              <w:rPr>
                <w:rFonts w:ascii="宋体"/>
              </w:rPr>
            </w:pPr>
          </w:p>
        </w:tc>
        <w:tc>
          <w:tcPr>
            <w:tcW w:w="2126" w:type="dxa"/>
            <w:vAlign w:val="center"/>
          </w:tcPr>
          <w:p w14:paraId="34AC0FE2">
            <w:pPr>
              <w:spacing w:line="360" w:lineRule="auto"/>
              <w:jc w:val="center"/>
              <w:rPr>
                <w:rFonts w:ascii="宋体" w:cs="Arial"/>
                <w:kern w:val="0"/>
              </w:rPr>
            </w:pPr>
          </w:p>
        </w:tc>
        <w:tc>
          <w:tcPr>
            <w:tcW w:w="1560" w:type="dxa"/>
            <w:vAlign w:val="center"/>
          </w:tcPr>
          <w:p w14:paraId="100F0689">
            <w:pPr>
              <w:spacing w:line="360" w:lineRule="auto"/>
              <w:jc w:val="center"/>
              <w:rPr>
                <w:rFonts w:ascii="宋体"/>
              </w:rPr>
            </w:pPr>
          </w:p>
        </w:tc>
        <w:tc>
          <w:tcPr>
            <w:tcW w:w="1701" w:type="dxa"/>
            <w:vAlign w:val="center"/>
          </w:tcPr>
          <w:p w14:paraId="4814F531">
            <w:pPr>
              <w:spacing w:line="360" w:lineRule="auto"/>
              <w:jc w:val="center"/>
              <w:rPr>
                <w:rFonts w:ascii="宋体" w:cs="Arial"/>
                <w:kern w:val="0"/>
              </w:rPr>
            </w:pPr>
          </w:p>
        </w:tc>
      </w:tr>
      <w:tr w14:paraId="1D70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497E2D5">
            <w:pPr>
              <w:spacing w:line="360" w:lineRule="auto"/>
              <w:jc w:val="center"/>
              <w:rPr>
                <w:rFonts w:ascii="宋体" w:hAnsi="宋体" w:cs="Arial"/>
                <w:kern w:val="0"/>
              </w:rPr>
            </w:pPr>
            <w:r>
              <w:rPr>
                <w:rFonts w:hint="eastAsia" w:ascii="宋体" w:hAnsi="宋体" w:cs="Arial"/>
                <w:kern w:val="0"/>
              </w:rPr>
              <w:t>4</w:t>
            </w:r>
          </w:p>
        </w:tc>
        <w:tc>
          <w:tcPr>
            <w:tcW w:w="2010" w:type="dxa"/>
            <w:vAlign w:val="center"/>
          </w:tcPr>
          <w:p w14:paraId="05A795ED">
            <w:pPr>
              <w:spacing w:line="360" w:lineRule="auto"/>
              <w:jc w:val="center"/>
              <w:rPr>
                <w:rFonts w:ascii="宋体"/>
              </w:rPr>
            </w:pPr>
          </w:p>
        </w:tc>
        <w:tc>
          <w:tcPr>
            <w:tcW w:w="2126" w:type="dxa"/>
            <w:vAlign w:val="center"/>
          </w:tcPr>
          <w:p w14:paraId="23CE8F42">
            <w:pPr>
              <w:spacing w:line="360" w:lineRule="auto"/>
              <w:jc w:val="center"/>
              <w:rPr>
                <w:rFonts w:ascii="宋体" w:cs="Arial"/>
                <w:kern w:val="0"/>
              </w:rPr>
            </w:pPr>
          </w:p>
        </w:tc>
        <w:tc>
          <w:tcPr>
            <w:tcW w:w="1560" w:type="dxa"/>
            <w:vAlign w:val="center"/>
          </w:tcPr>
          <w:p w14:paraId="54546EC1">
            <w:pPr>
              <w:spacing w:line="360" w:lineRule="auto"/>
              <w:jc w:val="center"/>
              <w:rPr>
                <w:rFonts w:ascii="宋体"/>
              </w:rPr>
            </w:pPr>
          </w:p>
        </w:tc>
        <w:tc>
          <w:tcPr>
            <w:tcW w:w="1701" w:type="dxa"/>
            <w:vAlign w:val="center"/>
          </w:tcPr>
          <w:p w14:paraId="4405E928">
            <w:pPr>
              <w:spacing w:line="360" w:lineRule="auto"/>
              <w:jc w:val="center"/>
              <w:rPr>
                <w:rFonts w:ascii="宋体" w:cs="Arial"/>
                <w:kern w:val="0"/>
              </w:rPr>
            </w:pPr>
          </w:p>
        </w:tc>
      </w:tr>
      <w:tr w14:paraId="1297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gridSpan w:val="2"/>
            <w:vAlign w:val="center"/>
          </w:tcPr>
          <w:p w14:paraId="7EE564A0">
            <w:pPr>
              <w:spacing w:line="360" w:lineRule="auto"/>
              <w:jc w:val="center"/>
              <w:rPr>
                <w:rFonts w:ascii="宋体" w:cs="Arial"/>
                <w:b/>
                <w:kern w:val="0"/>
              </w:rPr>
            </w:pPr>
            <w:r>
              <w:rPr>
                <w:rFonts w:hint="eastAsia" w:ascii="宋体" w:hAnsi="宋体" w:cs="Arial"/>
                <w:b/>
                <w:kern w:val="0"/>
              </w:rPr>
              <w:t>合计</w:t>
            </w:r>
          </w:p>
        </w:tc>
        <w:tc>
          <w:tcPr>
            <w:tcW w:w="2126" w:type="dxa"/>
            <w:vAlign w:val="center"/>
          </w:tcPr>
          <w:p w14:paraId="3C35CDB0">
            <w:pPr>
              <w:spacing w:line="360" w:lineRule="auto"/>
              <w:jc w:val="center"/>
              <w:rPr>
                <w:rFonts w:ascii="宋体" w:cs="Arial"/>
                <w:b/>
                <w:kern w:val="0"/>
              </w:rPr>
            </w:pPr>
          </w:p>
        </w:tc>
        <w:tc>
          <w:tcPr>
            <w:tcW w:w="1560" w:type="dxa"/>
            <w:vAlign w:val="center"/>
          </w:tcPr>
          <w:p w14:paraId="346EF6D2">
            <w:pPr>
              <w:spacing w:line="360" w:lineRule="auto"/>
              <w:jc w:val="center"/>
              <w:rPr>
                <w:rFonts w:ascii="宋体" w:cs="宋体"/>
                <w:b/>
              </w:rPr>
            </w:pPr>
          </w:p>
        </w:tc>
        <w:tc>
          <w:tcPr>
            <w:tcW w:w="1701" w:type="dxa"/>
            <w:vAlign w:val="center"/>
          </w:tcPr>
          <w:p w14:paraId="7F652CF7">
            <w:pPr>
              <w:spacing w:line="360" w:lineRule="auto"/>
              <w:jc w:val="center"/>
              <w:rPr>
                <w:rFonts w:ascii="宋体" w:hAnsi="宋体"/>
                <w:b/>
              </w:rPr>
            </w:pPr>
          </w:p>
        </w:tc>
      </w:tr>
    </w:tbl>
    <w:p w14:paraId="3CF8E2EE">
      <w:pPr>
        <w:spacing w:line="360" w:lineRule="auto"/>
        <w:ind w:firstLine="482" w:firstLineChars="200"/>
        <w:rPr>
          <w:rFonts w:ascii="宋体" w:cs="宋体"/>
          <w:b/>
          <w:bCs/>
          <w:sz w:val="24"/>
          <w:szCs w:val="24"/>
        </w:rPr>
      </w:pPr>
    </w:p>
    <w:p w14:paraId="5A92EC4A">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第十七条  </w:t>
      </w:r>
      <w:r>
        <w:rPr>
          <w:rFonts w:hint="eastAsia" w:ascii="宋体" w:hAnsi="宋体" w:cs="宋体"/>
          <w:sz w:val="24"/>
          <w:szCs w:val="24"/>
        </w:rPr>
        <w:t>公司的股份总数为</w:t>
      </w:r>
      <w:r>
        <w:rPr>
          <w:rFonts w:ascii="宋体" w:cs="宋体"/>
          <w:sz w:val="24"/>
          <w:szCs w:val="24"/>
        </w:rPr>
        <w:t>【】</w:t>
      </w:r>
      <w:r>
        <w:rPr>
          <w:rFonts w:hint="eastAsia" w:ascii="宋体" w:hAnsi="宋体" w:cs="宋体"/>
          <w:sz w:val="24"/>
          <w:szCs w:val="24"/>
        </w:rPr>
        <w:t>万股，均为普通股。</w:t>
      </w:r>
    </w:p>
    <w:p w14:paraId="7EE9EB8C">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第十八条  </w:t>
      </w:r>
      <w:r>
        <w:rPr>
          <w:rFonts w:hint="eastAsia" w:ascii="宋体" w:hAnsi="宋体" w:cs="宋体"/>
          <w:sz w:val="24"/>
          <w:szCs w:val="24"/>
        </w:rPr>
        <w:t>公司或公司的子公司（包括公司的附属企业）不以赠与、垫资、担保、补偿或贷款等形式，对购买或拟购买公司股份的人提供任何资助。</w:t>
      </w:r>
      <w:bookmarkStart w:id="20" w:name="_Toc287717012"/>
      <w:bookmarkStart w:id="21" w:name="_Toc215991584"/>
      <w:bookmarkStart w:id="22" w:name="_Toc314734389"/>
      <w:bookmarkStart w:id="23" w:name="_Toc262635790"/>
      <w:bookmarkStart w:id="24" w:name="_Toc137879461"/>
    </w:p>
    <w:p w14:paraId="3502CCF8">
      <w:pPr>
        <w:pStyle w:val="3"/>
        <w:rPr>
          <w:rFonts w:cs="宋体"/>
        </w:rPr>
      </w:pPr>
      <w:bookmarkStart w:id="25" w:name="_Toc425712700"/>
      <w:r>
        <w:rPr>
          <w:rFonts w:hint="eastAsia" w:cs="宋体"/>
        </w:rPr>
        <w:t>第二节  股份增减和回购</w:t>
      </w:r>
      <w:bookmarkEnd w:id="20"/>
      <w:bookmarkEnd w:id="21"/>
      <w:bookmarkEnd w:id="22"/>
      <w:bookmarkEnd w:id="23"/>
      <w:bookmarkEnd w:id="24"/>
      <w:bookmarkEnd w:id="25"/>
    </w:p>
    <w:p w14:paraId="48B30D19">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第十九条  </w:t>
      </w:r>
      <w:r>
        <w:rPr>
          <w:rFonts w:hint="eastAsia" w:ascii="宋体" w:hAnsi="宋体" w:cs="宋体"/>
          <w:sz w:val="24"/>
          <w:szCs w:val="24"/>
        </w:rPr>
        <w:t>公司根据经营和发展的需要，依照法律、法规的规定，经股东大会分别作出决议，可以采用下列方式增加资本：</w:t>
      </w:r>
    </w:p>
    <w:p w14:paraId="68F01652">
      <w:pPr>
        <w:spacing w:line="360" w:lineRule="auto"/>
        <w:ind w:firstLine="480" w:firstLineChars="200"/>
        <w:rPr>
          <w:rFonts w:ascii="宋体" w:cs="Times New Roman"/>
          <w:sz w:val="24"/>
          <w:szCs w:val="24"/>
        </w:rPr>
      </w:pPr>
      <w:r>
        <w:rPr>
          <w:rFonts w:hint="eastAsia" w:ascii="宋体" w:hAnsi="宋体" w:cs="宋体"/>
          <w:sz w:val="24"/>
          <w:szCs w:val="24"/>
        </w:rPr>
        <w:t>（一）公开发行股份；</w:t>
      </w:r>
    </w:p>
    <w:p w14:paraId="68B8BCD9">
      <w:pPr>
        <w:spacing w:line="360" w:lineRule="auto"/>
        <w:ind w:firstLine="480" w:firstLineChars="200"/>
        <w:rPr>
          <w:rFonts w:ascii="宋体" w:cs="Times New Roman"/>
          <w:sz w:val="24"/>
          <w:szCs w:val="24"/>
        </w:rPr>
      </w:pPr>
      <w:r>
        <w:rPr>
          <w:rFonts w:hint="eastAsia" w:ascii="宋体" w:hAnsi="宋体" w:cs="宋体"/>
          <w:sz w:val="24"/>
          <w:szCs w:val="24"/>
        </w:rPr>
        <w:t>（二）非公开发行股份；</w:t>
      </w:r>
    </w:p>
    <w:p w14:paraId="5789E1FE">
      <w:pPr>
        <w:spacing w:line="360" w:lineRule="auto"/>
        <w:ind w:firstLine="480" w:firstLineChars="200"/>
        <w:rPr>
          <w:rFonts w:ascii="宋体" w:cs="Times New Roman"/>
          <w:sz w:val="24"/>
          <w:szCs w:val="24"/>
        </w:rPr>
      </w:pPr>
      <w:r>
        <w:rPr>
          <w:rFonts w:hint="eastAsia" w:ascii="宋体" w:hAnsi="宋体" w:cs="宋体"/>
          <w:sz w:val="24"/>
          <w:szCs w:val="24"/>
        </w:rPr>
        <w:t>（三）向现有股东派送红股；</w:t>
      </w:r>
    </w:p>
    <w:p w14:paraId="6D237019">
      <w:pPr>
        <w:spacing w:line="360" w:lineRule="auto"/>
        <w:ind w:firstLine="480" w:firstLineChars="200"/>
        <w:rPr>
          <w:rFonts w:ascii="宋体" w:cs="Times New Roman"/>
          <w:sz w:val="24"/>
          <w:szCs w:val="24"/>
        </w:rPr>
      </w:pPr>
      <w:r>
        <w:rPr>
          <w:rFonts w:hint="eastAsia" w:ascii="宋体" w:hAnsi="宋体" w:cs="宋体"/>
          <w:sz w:val="24"/>
          <w:szCs w:val="24"/>
        </w:rPr>
        <w:t>（四）以公积金转增股本；</w:t>
      </w:r>
    </w:p>
    <w:p w14:paraId="57209BED">
      <w:pPr>
        <w:spacing w:line="360" w:lineRule="auto"/>
        <w:ind w:firstLine="480" w:firstLineChars="200"/>
        <w:rPr>
          <w:rFonts w:ascii="宋体" w:cs="Times New Roman"/>
          <w:sz w:val="24"/>
          <w:szCs w:val="24"/>
        </w:rPr>
      </w:pPr>
      <w:r>
        <w:rPr>
          <w:rFonts w:hint="eastAsia" w:ascii="宋体" w:hAnsi="宋体" w:cs="宋体"/>
          <w:sz w:val="24"/>
          <w:szCs w:val="24"/>
        </w:rPr>
        <w:t>（五）法律、行政法规规定以及中国证监会批准的其他方式。</w:t>
      </w:r>
    </w:p>
    <w:p w14:paraId="06E3E8C7">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第二十条  </w:t>
      </w:r>
      <w:r>
        <w:rPr>
          <w:rFonts w:hint="eastAsia" w:ascii="宋体" w:hAnsi="宋体" w:cs="宋体"/>
          <w:sz w:val="24"/>
          <w:szCs w:val="24"/>
        </w:rPr>
        <w:t>公司可以减少注册资本。公司减少注册资本，应当按照《公司法》以及其他有关规定和本章程规定的程序办理。</w:t>
      </w:r>
    </w:p>
    <w:p w14:paraId="15AF9BDA">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第二十一条  </w:t>
      </w:r>
      <w:r>
        <w:rPr>
          <w:rFonts w:hint="eastAsia" w:ascii="宋体" w:hAnsi="宋体" w:cs="宋体"/>
          <w:sz w:val="24"/>
          <w:szCs w:val="24"/>
        </w:rPr>
        <w:t>公司在下列情况下，可以依照法律、行政法规、部门规章和本章程的规定，收购本公司的股份：</w:t>
      </w:r>
    </w:p>
    <w:p w14:paraId="7D38DB5B">
      <w:pPr>
        <w:spacing w:line="360" w:lineRule="auto"/>
        <w:ind w:firstLine="480" w:firstLineChars="200"/>
        <w:rPr>
          <w:rFonts w:ascii="宋体" w:cs="Times New Roman"/>
          <w:sz w:val="24"/>
          <w:szCs w:val="24"/>
        </w:rPr>
      </w:pPr>
      <w:r>
        <w:rPr>
          <w:rFonts w:hint="eastAsia" w:ascii="宋体" w:hAnsi="宋体" w:cs="宋体"/>
          <w:sz w:val="24"/>
          <w:szCs w:val="24"/>
        </w:rPr>
        <w:t>（一）减少公司注册资本；</w:t>
      </w:r>
    </w:p>
    <w:p w14:paraId="25FF937C">
      <w:pPr>
        <w:spacing w:line="360" w:lineRule="auto"/>
        <w:ind w:firstLine="480" w:firstLineChars="200"/>
        <w:rPr>
          <w:rFonts w:ascii="宋体" w:cs="Times New Roman"/>
          <w:sz w:val="24"/>
          <w:szCs w:val="24"/>
        </w:rPr>
      </w:pPr>
      <w:r>
        <w:rPr>
          <w:rFonts w:hint="eastAsia" w:ascii="宋体" w:hAnsi="宋体" w:cs="宋体"/>
          <w:sz w:val="24"/>
          <w:szCs w:val="24"/>
        </w:rPr>
        <w:t>（二）与持有本公司股票的其他公司合并；</w:t>
      </w:r>
    </w:p>
    <w:p w14:paraId="55EF39AA">
      <w:pPr>
        <w:spacing w:line="360" w:lineRule="auto"/>
        <w:ind w:firstLine="480" w:firstLineChars="200"/>
        <w:rPr>
          <w:rFonts w:ascii="宋体" w:cs="Times New Roman"/>
          <w:sz w:val="24"/>
          <w:szCs w:val="24"/>
        </w:rPr>
      </w:pPr>
      <w:r>
        <w:rPr>
          <w:rFonts w:hint="eastAsia" w:ascii="宋体" w:hAnsi="宋体" w:cs="宋体"/>
          <w:sz w:val="24"/>
          <w:szCs w:val="24"/>
        </w:rPr>
        <w:t>（三）将股份奖励给本公司职工；</w:t>
      </w:r>
    </w:p>
    <w:p w14:paraId="2B467755">
      <w:pPr>
        <w:spacing w:line="360" w:lineRule="auto"/>
        <w:ind w:firstLine="480" w:firstLineChars="200"/>
        <w:rPr>
          <w:rFonts w:ascii="宋体" w:cs="Times New Roman"/>
          <w:sz w:val="24"/>
          <w:szCs w:val="24"/>
        </w:rPr>
      </w:pPr>
      <w:r>
        <w:rPr>
          <w:rFonts w:hint="eastAsia" w:ascii="宋体" w:hAnsi="宋体" w:cs="宋体"/>
          <w:sz w:val="24"/>
          <w:szCs w:val="24"/>
        </w:rPr>
        <w:t>（四）股东因对股东大会作出的公司合并、分立决议持异议，要求公司收购其股份的。</w:t>
      </w:r>
    </w:p>
    <w:p w14:paraId="34508697">
      <w:pPr>
        <w:spacing w:line="360" w:lineRule="auto"/>
        <w:ind w:firstLine="480" w:firstLineChars="200"/>
        <w:rPr>
          <w:rFonts w:ascii="宋体" w:cs="宋体"/>
          <w:sz w:val="24"/>
          <w:szCs w:val="24"/>
        </w:rPr>
      </w:pPr>
      <w:r>
        <w:rPr>
          <w:rFonts w:hint="eastAsia" w:ascii="宋体" w:hAnsi="宋体" w:cs="宋体"/>
          <w:sz w:val="24"/>
          <w:szCs w:val="24"/>
        </w:rPr>
        <w:t>除上述情形外，公司不进行买卖本公司股份的活动。</w:t>
      </w:r>
    </w:p>
    <w:p w14:paraId="05A656D5">
      <w:pPr>
        <w:spacing w:line="360" w:lineRule="auto"/>
        <w:ind w:firstLine="482" w:firstLineChars="200"/>
        <w:rPr>
          <w:rFonts w:ascii="宋体" w:cs="宋体"/>
          <w:sz w:val="24"/>
          <w:szCs w:val="24"/>
        </w:rPr>
      </w:pPr>
      <w:r>
        <w:rPr>
          <w:rFonts w:hint="eastAsia" w:ascii="宋体" w:hAnsi="宋体" w:cs="宋体"/>
          <w:b/>
          <w:bCs/>
          <w:sz w:val="24"/>
          <w:szCs w:val="24"/>
        </w:rPr>
        <w:t xml:space="preserve">第二十二条  </w:t>
      </w:r>
      <w:r>
        <w:rPr>
          <w:rFonts w:hint="eastAsia" w:ascii="宋体" w:hAnsi="宋体" w:cs="宋体"/>
          <w:sz w:val="24"/>
          <w:szCs w:val="24"/>
        </w:rPr>
        <w:t>公司收购公司股份，应当根据法律、法规或政府监管机构规定的方式进行。</w:t>
      </w:r>
    </w:p>
    <w:p w14:paraId="0B373B82">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第二十三条  </w:t>
      </w:r>
      <w:r>
        <w:rPr>
          <w:rFonts w:hint="eastAsia" w:ascii="宋体" w:hAnsi="宋体" w:cs="宋体"/>
          <w:sz w:val="24"/>
          <w:szCs w:val="24"/>
        </w:rPr>
        <w:t>公司因本章程第二十一条第（一）项至第（三）项的原因收购本公司股份的，应当经股东大会决议。公司依照本章程第二十一条规定收购本公司股份后，属于第（一）项情形的，应当自收购之日起</w:t>
      </w:r>
      <w:r>
        <w:rPr>
          <w:rFonts w:ascii="宋体" w:hAnsi="宋体" w:cs="宋体"/>
          <w:sz w:val="24"/>
          <w:szCs w:val="24"/>
        </w:rPr>
        <w:t>10</w:t>
      </w:r>
      <w:r>
        <w:rPr>
          <w:rFonts w:hint="eastAsia" w:ascii="宋体" w:hAnsi="宋体" w:cs="宋体"/>
          <w:sz w:val="24"/>
          <w:szCs w:val="24"/>
        </w:rPr>
        <w:t>日内注销；属于第（二）项、第（四）项情形的，应当在</w:t>
      </w:r>
      <w:r>
        <w:rPr>
          <w:rFonts w:ascii="宋体" w:hAnsi="宋体" w:cs="宋体"/>
          <w:sz w:val="24"/>
          <w:szCs w:val="24"/>
        </w:rPr>
        <w:t>6</w:t>
      </w:r>
      <w:r>
        <w:rPr>
          <w:rFonts w:hint="eastAsia" w:ascii="宋体" w:hAnsi="宋体" w:cs="宋体"/>
          <w:sz w:val="24"/>
          <w:szCs w:val="24"/>
        </w:rPr>
        <w:t>个月内转让或者注销。</w:t>
      </w:r>
    </w:p>
    <w:p w14:paraId="2A605991">
      <w:pPr>
        <w:spacing w:line="360" w:lineRule="auto"/>
        <w:ind w:firstLine="480" w:firstLineChars="200"/>
        <w:rPr>
          <w:rFonts w:ascii="宋体" w:cs="Times New Roman"/>
          <w:sz w:val="24"/>
          <w:szCs w:val="24"/>
        </w:rPr>
      </w:pPr>
      <w:r>
        <w:rPr>
          <w:rFonts w:hint="eastAsia" w:ascii="宋体" w:hAnsi="宋体" w:cs="宋体"/>
          <w:sz w:val="24"/>
          <w:szCs w:val="24"/>
        </w:rPr>
        <w:t>公司依照本章程第二十一条第（三）项规定收购的本公司股份，将不超过本公司已发行股份总额的</w:t>
      </w:r>
      <w:r>
        <w:rPr>
          <w:rFonts w:ascii="宋体" w:hAnsi="宋体" w:cs="宋体"/>
          <w:sz w:val="24"/>
          <w:szCs w:val="24"/>
        </w:rPr>
        <w:t>5%</w:t>
      </w:r>
      <w:r>
        <w:rPr>
          <w:rFonts w:hint="eastAsia" w:ascii="宋体" w:hAnsi="宋体" w:cs="宋体"/>
          <w:sz w:val="24"/>
          <w:szCs w:val="24"/>
        </w:rPr>
        <w:t>；用于收购的资金应当从公司的税后利润中支出；所收购的股份应当</w:t>
      </w:r>
      <w:r>
        <w:rPr>
          <w:rFonts w:ascii="宋体" w:hAnsi="宋体" w:cs="宋体"/>
          <w:sz w:val="24"/>
          <w:szCs w:val="24"/>
        </w:rPr>
        <w:t>1</w:t>
      </w:r>
      <w:r>
        <w:rPr>
          <w:rFonts w:hint="eastAsia" w:ascii="宋体" w:hAnsi="宋体" w:cs="宋体"/>
          <w:sz w:val="24"/>
          <w:szCs w:val="24"/>
        </w:rPr>
        <w:t>年内转让给职工。</w:t>
      </w:r>
      <w:bookmarkStart w:id="26" w:name="_Toc314734390"/>
      <w:bookmarkStart w:id="27" w:name="_Toc137879462"/>
      <w:bookmarkStart w:id="28" w:name="_Toc262635791"/>
      <w:bookmarkStart w:id="29" w:name="_Toc287717013"/>
      <w:bookmarkStart w:id="30" w:name="_Toc215991585"/>
    </w:p>
    <w:p w14:paraId="10E3DF08">
      <w:pPr>
        <w:pStyle w:val="3"/>
        <w:rPr>
          <w:rFonts w:cs="宋体"/>
        </w:rPr>
      </w:pPr>
      <w:bookmarkStart w:id="31" w:name="_Toc425712701"/>
      <w:r>
        <w:rPr>
          <w:rFonts w:hint="eastAsia" w:cs="宋体"/>
        </w:rPr>
        <w:t>第三节  股份转让</w:t>
      </w:r>
      <w:bookmarkEnd w:id="26"/>
      <w:bookmarkEnd w:id="27"/>
      <w:bookmarkEnd w:id="28"/>
      <w:bookmarkEnd w:id="29"/>
      <w:bookmarkEnd w:id="30"/>
      <w:bookmarkEnd w:id="31"/>
    </w:p>
    <w:p w14:paraId="543D57A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第二十四条  </w:t>
      </w:r>
      <w:r>
        <w:rPr>
          <w:rFonts w:hint="eastAsia" w:ascii="宋体" w:hAnsi="宋体" w:cs="宋体"/>
          <w:sz w:val="24"/>
          <w:szCs w:val="24"/>
        </w:rPr>
        <w:t>公司的股份可以依法转让。</w:t>
      </w:r>
    </w:p>
    <w:p w14:paraId="3C82C559">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第二十五条  </w:t>
      </w:r>
      <w:r>
        <w:rPr>
          <w:rFonts w:hint="eastAsia" w:ascii="宋体" w:hAnsi="宋体" w:cs="宋体"/>
          <w:sz w:val="24"/>
          <w:szCs w:val="24"/>
        </w:rPr>
        <w:t>公司不接受本公司的股票作为质押权的标的。</w:t>
      </w:r>
    </w:p>
    <w:p w14:paraId="048755E6">
      <w:pPr>
        <w:pStyle w:val="19"/>
        <w:adjustRightInd w:val="0"/>
        <w:snapToGrid w:val="0"/>
        <w:spacing w:before="0" w:beforeAutospacing="0" w:after="0" w:afterAutospacing="0" w:line="360" w:lineRule="auto"/>
        <w:ind w:firstLine="472" w:firstLineChars="196"/>
        <w:rPr>
          <w:rFonts w:cs="Times New Roman"/>
        </w:rPr>
      </w:pPr>
      <w:r>
        <w:rPr>
          <w:rFonts w:hint="eastAsia"/>
          <w:b/>
          <w:bCs/>
        </w:rPr>
        <w:t xml:space="preserve">第二十六条  </w:t>
      </w:r>
      <w:r>
        <w:rPr>
          <w:rFonts w:hint="eastAsia"/>
        </w:rPr>
        <w:t>发起人持有的本公司股份，自公司成立之日起</w:t>
      </w:r>
      <w:r>
        <w:t>1</w:t>
      </w:r>
      <w:r>
        <w:rPr>
          <w:rFonts w:hint="eastAsia"/>
        </w:rPr>
        <w:t>年内不得转让。</w:t>
      </w:r>
      <w:bookmarkStart w:id="32" w:name="_Toc215991586"/>
      <w:bookmarkStart w:id="33" w:name="_Toc262635792"/>
      <w:bookmarkStart w:id="34" w:name="_Toc137879463"/>
      <w:bookmarkStart w:id="35" w:name="_Toc287717014"/>
      <w:bookmarkStart w:id="36" w:name="_Toc314734391"/>
    </w:p>
    <w:p w14:paraId="6FCC5166">
      <w:pPr>
        <w:pStyle w:val="19"/>
        <w:adjustRightInd w:val="0"/>
        <w:snapToGrid w:val="0"/>
        <w:spacing w:before="0" w:beforeAutospacing="0" w:after="0" w:afterAutospacing="0" w:line="360" w:lineRule="auto"/>
        <w:ind w:firstLine="480"/>
        <w:rPr>
          <w:rFonts w:cs="Times New Roman"/>
        </w:rPr>
      </w:pPr>
      <w:r>
        <w:rPr>
          <w:rFonts w:hint="eastAsia" w:cs="Times New Roman"/>
        </w:rPr>
        <w:t>公司董事、监事、高级管理人员应当向公司申报所持有的本公司的股份及其变动情况，在任职期间每年转让的股份不得超过其所持有本公司股份总数的百分之二十五；上述人员离职后半年内，不得转让其所持有的本公司股份。</w:t>
      </w:r>
    </w:p>
    <w:p w14:paraId="76B88B62">
      <w:pPr>
        <w:spacing w:line="360" w:lineRule="auto"/>
        <w:ind w:firstLine="420"/>
        <w:rPr>
          <w:rFonts w:ascii="宋体"/>
          <w:sz w:val="24"/>
          <w:szCs w:val="24"/>
        </w:rPr>
      </w:pPr>
      <w:r>
        <w:rPr>
          <w:rFonts w:hint="eastAsia" w:ascii="宋体" w:hAnsi="宋体" w:cs="Times New Roman"/>
          <w:b/>
          <w:sz w:val="24"/>
          <w:szCs w:val="24"/>
        </w:rPr>
        <w:t xml:space="preserve">第二十七条  </w:t>
      </w:r>
      <w:r>
        <w:rPr>
          <w:rFonts w:hint="eastAsia" w:ascii="宋体" w:hAnsi="宋体"/>
          <w:sz w:val="24"/>
          <w:szCs w:val="24"/>
        </w:rPr>
        <w:t>公司董事、监事、高级管理人员、持有本公司股份</w:t>
      </w:r>
      <w:r>
        <w:rPr>
          <w:rFonts w:ascii="宋体" w:hAnsi="宋体"/>
          <w:sz w:val="24"/>
          <w:szCs w:val="24"/>
        </w:rPr>
        <w:t>5%</w:t>
      </w:r>
      <w:r>
        <w:rPr>
          <w:rFonts w:hint="eastAsia" w:ascii="宋体" w:hAnsi="宋体"/>
          <w:sz w:val="24"/>
          <w:szCs w:val="24"/>
        </w:rPr>
        <w:t>以上的股东，将其持有的本公司股票在买入后</w:t>
      </w:r>
      <w:r>
        <w:rPr>
          <w:rFonts w:ascii="宋体" w:hAnsi="宋体"/>
          <w:sz w:val="24"/>
          <w:szCs w:val="24"/>
        </w:rPr>
        <w:t>6</w:t>
      </w:r>
      <w:r>
        <w:rPr>
          <w:rFonts w:hint="eastAsia" w:ascii="宋体" w:hAnsi="宋体"/>
          <w:sz w:val="24"/>
          <w:szCs w:val="24"/>
        </w:rPr>
        <w:t>个月内卖出，或者在卖出后</w:t>
      </w:r>
      <w:r>
        <w:rPr>
          <w:rFonts w:ascii="宋体" w:hAnsi="宋体"/>
          <w:sz w:val="24"/>
          <w:szCs w:val="24"/>
        </w:rPr>
        <w:t>6</w:t>
      </w:r>
      <w:r>
        <w:rPr>
          <w:rFonts w:hint="eastAsia" w:ascii="宋体" w:hAnsi="宋体"/>
          <w:sz w:val="24"/>
          <w:szCs w:val="24"/>
        </w:rPr>
        <w:t>个月内又买入，由此所得收益归本公司所有，本公司董事会将收回其所得收益。</w:t>
      </w:r>
    </w:p>
    <w:p w14:paraId="7C1E4B3F">
      <w:pPr>
        <w:spacing w:line="360" w:lineRule="auto"/>
        <w:ind w:firstLine="420"/>
        <w:rPr>
          <w:rFonts w:ascii="宋体"/>
          <w:sz w:val="24"/>
          <w:szCs w:val="24"/>
        </w:rPr>
      </w:pPr>
      <w:r>
        <w:rPr>
          <w:rFonts w:hint="eastAsia" w:ascii="宋体" w:hAnsi="宋体"/>
          <w:sz w:val="24"/>
          <w:szCs w:val="24"/>
        </w:rPr>
        <w:t>公司董事会不按照前款规定执行的，股东有权要求董事会在</w:t>
      </w:r>
      <w:r>
        <w:rPr>
          <w:rFonts w:ascii="宋体" w:hAnsi="宋体"/>
          <w:sz w:val="24"/>
          <w:szCs w:val="24"/>
        </w:rPr>
        <w:t>30</w:t>
      </w:r>
      <w:r>
        <w:rPr>
          <w:rFonts w:hint="eastAsia" w:ascii="宋体" w:hAnsi="宋体"/>
          <w:sz w:val="24"/>
          <w:szCs w:val="24"/>
        </w:rPr>
        <w:t>日内执行。公司董事会未在上述期限内执行的，股东有权为了公司的利益以自己的名义直接向人民法院提起诉讼。</w:t>
      </w:r>
    </w:p>
    <w:p w14:paraId="1745B43D">
      <w:pPr>
        <w:spacing w:line="360" w:lineRule="auto"/>
        <w:ind w:firstLine="420"/>
        <w:rPr>
          <w:rFonts w:ascii="宋体"/>
          <w:sz w:val="24"/>
          <w:szCs w:val="24"/>
        </w:rPr>
      </w:pPr>
      <w:r>
        <w:rPr>
          <w:rFonts w:hint="eastAsia" w:ascii="宋体" w:hAnsi="宋体"/>
          <w:sz w:val="24"/>
          <w:szCs w:val="24"/>
        </w:rPr>
        <w:t>公司董事会不按照第一款的规定执行的，负有责任的董事依法承担连带责任。</w:t>
      </w:r>
    </w:p>
    <w:p w14:paraId="136B97A6">
      <w:pPr>
        <w:pStyle w:val="2"/>
        <w:rPr>
          <w:rFonts w:ascii="宋体" w:hAnsi="宋体" w:cs="宋体"/>
          <w:sz w:val="28"/>
          <w:szCs w:val="28"/>
        </w:rPr>
      </w:pPr>
      <w:bookmarkStart w:id="37" w:name="_Toc425712702"/>
      <w:r>
        <w:rPr>
          <w:rFonts w:hint="eastAsia" w:ascii="宋体" w:hAnsi="宋体" w:cs="宋体"/>
          <w:sz w:val="28"/>
          <w:szCs w:val="28"/>
        </w:rPr>
        <w:t>第四章   股东和股东大会</w:t>
      </w:r>
      <w:bookmarkEnd w:id="32"/>
      <w:bookmarkEnd w:id="33"/>
      <w:bookmarkEnd w:id="34"/>
      <w:bookmarkEnd w:id="35"/>
      <w:bookmarkEnd w:id="36"/>
      <w:bookmarkEnd w:id="37"/>
    </w:p>
    <w:p w14:paraId="62A224A5">
      <w:pPr>
        <w:pStyle w:val="3"/>
        <w:rPr>
          <w:rFonts w:cs="宋体"/>
        </w:rPr>
      </w:pPr>
      <w:bookmarkStart w:id="38" w:name="_Toc425712703"/>
      <w:bookmarkStart w:id="39" w:name="_Toc137879464"/>
      <w:bookmarkStart w:id="40" w:name="_Toc287717015"/>
      <w:bookmarkStart w:id="41" w:name="_Toc262635793"/>
      <w:bookmarkStart w:id="42" w:name="_Toc215991587"/>
      <w:bookmarkStart w:id="43" w:name="_Toc314734392"/>
      <w:r>
        <w:rPr>
          <w:rFonts w:hint="eastAsia" w:cs="宋体"/>
        </w:rPr>
        <w:t>第一节  股东</w:t>
      </w:r>
      <w:bookmarkEnd w:id="38"/>
      <w:bookmarkEnd w:id="39"/>
      <w:bookmarkEnd w:id="40"/>
      <w:bookmarkEnd w:id="41"/>
      <w:bookmarkEnd w:id="42"/>
      <w:bookmarkEnd w:id="43"/>
    </w:p>
    <w:p w14:paraId="002E089B">
      <w:pPr>
        <w:spacing w:line="360" w:lineRule="auto"/>
        <w:ind w:firstLine="482" w:firstLineChars="200"/>
        <w:rPr>
          <w:rFonts w:ascii="宋体" w:cs="Times New Roman"/>
          <w:sz w:val="24"/>
          <w:szCs w:val="24"/>
        </w:rPr>
      </w:pPr>
      <w:r>
        <w:rPr>
          <w:rFonts w:hint="eastAsia" w:ascii="宋体" w:hAnsi="宋体" w:cs="宋体"/>
          <w:b/>
          <w:bCs/>
          <w:sz w:val="24"/>
          <w:szCs w:val="24"/>
        </w:rPr>
        <w:t>第二十八条</w:t>
      </w:r>
      <w:r>
        <w:rPr>
          <w:rFonts w:hint="eastAsia" w:ascii="宋体" w:hAnsi="宋体" w:cs="宋体"/>
          <w:sz w:val="24"/>
          <w:szCs w:val="24"/>
        </w:rPr>
        <w:t xml:space="preserve">  公司依法建立股东名册，股东名册是证明股东持有公司股份的充分证据。</w:t>
      </w:r>
    </w:p>
    <w:p w14:paraId="580FA043">
      <w:pPr>
        <w:spacing w:line="360" w:lineRule="auto"/>
        <w:ind w:firstLine="480" w:firstLineChars="200"/>
        <w:rPr>
          <w:rFonts w:ascii="宋体" w:cs="宋体"/>
          <w:sz w:val="24"/>
          <w:szCs w:val="24"/>
        </w:rPr>
      </w:pPr>
      <w:r>
        <w:rPr>
          <w:rFonts w:hint="eastAsia" w:ascii="宋体" w:hAnsi="宋体" w:cs="宋体"/>
          <w:sz w:val="24"/>
          <w:szCs w:val="24"/>
        </w:rPr>
        <w:t>股东按其所持有股份的种类享有权利，承担义务；持有同一种类股份的股东，享有同等权利，承担同种义务。</w:t>
      </w:r>
    </w:p>
    <w:p w14:paraId="33EA57B4">
      <w:pPr>
        <w:spacing w:line="360" w:lineRule="auto"/>
        <w:ind w:firstLine="480" w:firstLineChars="200"/>
        <w:rPr>
          <w:rFonts w:ascii="宋体" w:cs="Times New Roman"/>
          <w:sz w:val="24"/>
          <w:szCs w:val="24"/>
        </w:rPr>
      </w:pPr>
      <w:r>
        <w:rPr>
          <w:rFonts w:hint="eastAsia" w:ascii="宋体" w:hAnsi="宋体" w:cs="Arial"/>
          <w:sz w:val="24"/>
          <w:szCs w:val="24"/>
        </w:rPr>
        <w:t>公司召开股东大会、分配股利、清算及从事其他需要确认股东身份的行为时，登记在册的股东为享有相关权益的股东。</w:t>
      </w:r>
    </w:p>
    <w:p w14:paraId="583C28CF">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第二十九条  </w:t>
      </w:r>
      <w:r>
        <w:rPr>
          <w:rFonts w:hint="eastAsia" w:ascii="宋体" w:hAnsi="宋体" w:cs="宋体"/>
          <w:sz w:val="24"/>
          <w:szCs w:val="24"/>
        </w:rPr>
        <w:t>公司股东享有下列权利：</w:t>
      </w:r>
    </w:p>
    <w:p w14:paraId="25CB4CDA">
      <w:pPr>
        <w:spacing w:line="360" w:lineRule="auto"/>
        <w:ind w:firstLine="480" w:firstLineChars="200"/>
        <w:rPr>
          <w:rFonts w:ascii="宋体" w:cs="Times New Roman"/>
          <w:sz w:val="24"/>
          <w:szCs w:val="24"/>
        </w:rPr>
      </w:pPr>
      <w:r>
        <w:rPr>
          <w:rFonts w:hint="eastAsia" w:ascii="宋体" w:hAnsi="宋体" w:cs="宋体"/>
          <w:sz w:val="24"/>
          <w:szCs w:val="24"/>
        </w:rPr>
        <w:t>（一）依照其持有的股份份额获得股利和其他形式的利益分配；</w:t>
      </w:r>
    </w:p>
    <w:p w14:paraId="5F1568DF">
      <w:pPr>
        <w:spacing w:line="360" w:lineRule="auto"/>
        <w:ind w:firstLine="480" w:firstLineChars="200"/>
        <w:rPr>
          <w:rFonts w:ascii="宋体" w:cs="Times New Roman"/>
          <w:sz w:val="24"/>
          <w:szCs w:val="24"/>
        </w:rPr>
      </w:pPr>
      <w:r>
        <w:rPr>
          <w:rFonts w:hint="eastAsia" w:ascii="宋体" w:hAnsi="宋体" w:cs="宋体"/>
          <w:sz w:val="24"/>
          <w:szCs w:val="24"/>
        </w:rPr>
        <w:t>（二）依法请求、召集、主持、参加或者委派股东代理人参加股东大会，并行使相应的表决权；</w:t>
      </w:r>
    </w:p>
    <w:p w14:paraId="3510A32C">
      <w:pPr>
        <w:spacing w:line="360" w:lineRule="auto"/>
        <w:ind w:firstLine="480" w:firstLineChars="200"/>
        <w:rPr>
          <w:rFonts w:ascii="宋体" w:cs="Times New Roman"/>
          <w:sz w:val="24"/>
          <w:szCs w:val="24"/>
        </w:rPr>
      </w:pPr>
      <w:r>
        <w:rPr>
          <w:rFonts w:hint="eastAsia" w:ascii="宋体" w:hAnsi="宋体" w:cs="宋体"/>
          <w:sz w:val="24"/>
          <w:szCs w:val="24"/>
        </w:rPr>
        <w:t>（三）对公司的经营进行监督，提出建议或者质询；</w:t>
      </w:r>
    </w:p>
    <w:p w14:paraId="0C72A11F">
      <w:pPr>
        <w:spacing w:line="360" w:lineRule="auto"/>
        <w:ind w:firstLine="480" w:firstLineChars="200"/>
        <w:rPr>
          <w:rFonts w:ascii="宋体" w:cs="Times New Roman"/>
          <w:sz w:val="24"/>
          <w:szCs w:val="24"/>
        </w:rPr>
      </w:pPr>
      <w:r>
        <w:rPr>
          <w:rFonts w:hint="eastAsia" w:ascii="宋体" w:hAnsi="宋体" w:cs="宋体"/>
          <w:sz w:val="24"/>
          <w:szCs w:val="24"/>
        </w:rPr>
        <w:t>（四）依照法律、行政法规及本章程的规定转让、赠与或质押其所持有的股份；</w:t>
      </w:r>
    </w:p>
    <w:p w14:paraId="4C0A61EB">
      <w:pPr>
        <w:spacing w:line="360" w:lineRule="auto"/>
        <w:ind w:firstLine="480" w:firstLineChars="200"/>
        <w:rPr>
          <w:rFonts w:ascii="宋体" w:cs="Times New Roman"/>
          <w:sz w:val="24"/>
          <w:szCs w:val="24"/>
        </w:rPr>
      </w:pPr>
      <w:r>
        <w:rPr>
          <w:rFonts w:hint="eastAsia" w:ascii="宋体" w:hAnsi="宋体" w:cs="宋体"/>
          <w:sz w:val="24"/>
          <w:szCs w:val="24"/>
        </w:rPr>
        <w:t>（五）查阅本章程、股东名册、公司债券存根、股东大会会议记录、董事会会议决议、监事会会议决议、财务会计报告；</w:t>
      </w:r>
    </w:p>
    <w:p w14:paraId="3F8B05D9">
      <w:pPr>
        <w:spacing w:line="360" w:lineRule="auto"/>
        <w:ind w:firstLine="480" w:firstLineChars="200"/>
        <w:rPr>
          <w:rFonts w:ascii="宋体" w:cs="Times New Roman"/>
          <w:sz w:val="24"/>
          <w:szCs w:val="24"/>
        </w:rPr>
      </w:pPr>
      <w:r>
        <w:rPr>
          <w:rFonts w:hint="eastAsia" w:ascii="宋体" w:hAnsi="宋体" w:cs="宋体"/>
          <w:sz w:val="24"/>
          <w:szCs w:val="24"/>
        </w:rPr>
        <w:t>（六）公司终止或者清算时，按其所持有的股份份额参加公司剩余财产的分配；</w:t>
      </w:r>
    </w:p>
    <w:p w14:paraId="7F438243">
      <w:pPr>
        <w:spacing w:line="360" w:lineRule="auto"/>
        <w:ind w:firstLine="480" w:firstLineChars="200"/>
        <w:rPr>
          <w:rFonts w:ascii="宋体" w:cs="Times New Roman"/>
          <w:sz w:val="24"/>
          <w:szCs w:val="24"/>
        </w:rPr>
      </w:pPr>
      <w:r>
        <w:rPr>
          <w:rFonts w:hint="eastAsia" w:ascii="宋体" w:hAnsi="宋体" w:cs="宋体"/>
          <w:sz w:val="24"/>
          <w:szCs w:val="24"/>
        </w:rPr>
        <w:t>（七）对股东大会作出的公司合并、分立决议持异议的股东，要求公司收购其股份；</w:t>
      </w:r>
    </w:p>
    <w:p w14:paraId="18D80C13">
      <w:pPr>
        <w:spacing w:line="360" w:lineRule="auto"/>
        <w:ind w:firstLine="480" w:firstLineChars="200"/>
        <w:rPr>
          <w:rFonts w:ascii="宋体" w:cs="宋体"/>
          <w:sz w:val="24"/>
          <w:szCs w:val="24"/>
        </w:rPr>
      </w:pPr>
      <w:r>
        <w:rPr>
          <w:rFonts w:hint="eastAsia" w:ascii="宋体" w:hAnsi="宋体" w:cs="宋体"/>
          <w:sz w:val="24"/>
          <w:szCs w:val="24"/>
        </w:rPr>
        <w:t>（八）法律、行政法规、部门规章或本章程规定的其他权利。</w:t>
      </w:r>
    </w:p>
    <w:p w14:paraId="7E4AE545">
      <w:pPr>
        <w:spacing w:line="360" w:lineRule="auto"/>
        <w:ind w:firstLine="480" w:firstLineChars="200"/>
        <w:rPr>
          <w:rFonts w:ascii="宋体" w:cs="Times New Roman"/>
          <w:sz w:val="24"/>
          <w:szCs w:val="24"/>
        </w:rPr>
      </w:pPr>
      <w:r>
        <w:rPr>
          <w:rFonts w:hint="eastAsia" w:ascii="宋体" w:hAnsi="宋体" w:cs="Arial"/>
          <w:sz w:val="24"/>
          <w:szCs w:val="24"/>
        </w:rPr>
        <w:t>股东提出查阅前条所述有关信息或者索取资料的，应当向公司提供证明其持有公司股份的种类以及持股数量的书面文件，公司经核实股东身份后按照股东的要求予以提供。</w:t>
      </w:r>
    </w:p>
    <w:p w14:paraId="54C8742F">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第三十条  </w:t>
      </w:r>
      <w:r>
        <w:rPr>
          <w:rFonts w:hint="eastAsia" w:ascii="宋体" w:hAnsi="宋体" w:cs="宋体"/>
          <w:sz w:val="24"/>
          <w:szCs w:val="24"/>
        </w:rPr>
        <w:t>公司股东大会、董事会决议内容违反法律、行政法规的，股东有权请求人民法院认定无效。</w:t>
      </w:r>
    </w:p>
    <w:p w14:paraId="22961643">
      <w:pPr>
        <w:spacing w:line="360" w:lineRule="auto"/>
        <w:ind w:firstLine="480" w:firstLineChars="200"/>
        <w:rPr>
          <w:rFonts w:ascii="宋体" w:cs="Times New Roman"/>
          <w:sz w:val="24"/>
          <w:szCs w:val="24"/>
        </w:rPr>
      </w:pPr>
      <w:r>
        <w:rPr>
          <w:rFonts w:hint="eastAsia" w:ascii="宋体" w:hAnsi="宋体" w:cs="宋体"/>
          <w:sz w:val="24"/>
          <w:szCs w:val="24"/>
        </w:rPr>
        <w:t>股东大会、董事会的会议召集程序、表决方式违反法律、行政法规或者本章程，或者决议内容违反本章程的，股东有权自决议作出之日起</w:t>
      </w:r>
      <w:r>
        <w:rPr>
          <w:rFonts w:ascii="宋体" w:hAnsi="宋体" w:cs="宋体"/>
          <w:sz w:val="24"/>
          <w:szCs w:val="24"/>
        </w:rPr>
        <w:t>60</w:t>
      </w:r>
      <w:r>
        <w:rPr>
          <w:rFonts w:hint="eastAsia" w:ascii="宋体" w:hAnsi="宋体" w:cs="宋体"/>
          <w:sz w:val="24"/>
          <w:szCs w:val="24"/>
        </w:rPr>
        <w:t>日内，请求人民法院撤销。</w:t>
      </w:r>
    </w:p>
    <w:p w14:paraId="29CCA2E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第三十一条  </w:t>
      </w:r>
      <w:r>
        <w:rPr>
          <w:rFonts w:hint="eastAsia" w:ascii="宋体" w:hAnsi="宋体" w:cs="宋体"/>
          <w:sz w:val="24"/>
          <w:szCs w:val="24"/>
        </w:rPr>
        <w:t>董事、高级管理人员执行公司职务时违反法律、行政法规或者本章程的规定，给公司造成损失的，连续</w:t>
      </w:r>
      <w:r>
        <w:rPr>
          <w:rFonts w:ascii="宋体" w:hAnsi="宋体" w:cs="宋体"/>
          <w:sz w:val="24"/>
          <w:szCs w:val="24"/>
        </w:rPr>
        <w:t>180</w:t>
      </w:r>
      <w:r>
        <w:rPr>
          <w:rFonts w:hint="eastAsia" w:ascii="宋体" w:hAnsi="宋体" w:cs="宋体"/>
          <w:sz w:val="24"/>
          <w:szCs w:val="24"/>
        </w:rPr>
        <w:t>日以上单独或合并持有公司</w:t>
      </w:r>
      <w:r>
        <w:rPr>
          <w:rFonts w:ascii="宋体" w:hAnsi="宋体" w:cs="宋体"/>
          <w:sz w:val="24"/>
          <w:szCs w:val="24"/>
        </w:rPr>
        <w:t>1%</w:t>
      </w:r>
      <w:r>
        <w:rPr>
          <w:rFonts w:hint="eastAsia" w:ascii="宋体" w:hAnsi="宋体" w:cs="宋体"/>
          <w:sz w:val="24"/>
          <w:szCs w:val="24"/>
        </w:rPr>
        <w:t>以上股份的股东有权书面请求监事会向人民法院提起诉讼；监事执行公司职务时违反法律、行政法规或者本章程的规定，给公司造成损失的，股东可以书面请求董事会向人民法院提起诉讼。</w:t>
      </w:r>
    </w:p>
    <w:p w14:paraId="4C04EF86">
      <w:pPr>
        <w:spacing w:line="360" w:lineRule="auto"/>
        <w:ind w:firstLine="480" w:firstLineChars="200"/>
        <w:rPr>
          <w:rFonts w:ascii="宋体" w:cs="Times New Roman"/>
          <w:sz w:val="24"/>
          <w:szCs w:val="24"/>
        </w:rPr>
      </w:pPr>
      <w:r>
        <w:rPr>
          <w:rFonts w:hint="eastAsia" w:ascii="宋体" w:hAnsi="宋体" w:cs="宋体"/>
          <w:sz w:val="24"/>
          <w:szCs w:val="24"/>
        </w:rPr>
        <w:t>监事会、董事会收到前款规定的股东书面请求后拒绝提起诉讼，或者自收到请求之日起</w:t>
      </w:r>
      <w:r>
        <w:rPr>
          <w:rFonts w:ascii="宋体" w:hAnsi="宋体" w:cs="宋体"/>
          <w:sz w:val="24"/>
          <w:szCs w:val="24"/>
        </w:rPr>
        <w:t>30</w:t>
      </w:r>
      <w:r>
        <w:rPr>
          <w:rFonts w:hint="eastAsia" w:ascii="宋体" w:hAnsi="宋体" w:cs="宋体"/>
          <w:sz w:val="24"/>
          <w:szCs w:val="24"/>
        </w:rPr>
        <w:t>日内未提起诉讼，或者情况紧急、不立即提起诉讼将会使公司利益受到难以弥补的损害的，前款规定的股东有权为了公司的利益以自己的名义直接向人民法院提起诉讼。</w:t>
      </w:r>
    </w:p>
    <w:p w14:paraId="40120CE9">
      <w:pPr>
        <w:spacing w:line="360" w:lineRule="auto"/>
        <w:ind w:firstLine="480" w:firstLineChars="200"/>
        <w:rPr>
          <w:rFonts w:ascii="宋体" w:cs="Times New Roman"/>
          <w:sz w:val="24"/>
          <w:szCs w:val="24"/>
        </w:rPr>
      </w:pPr>
      <w:r>
        <w:rPr>
          <w:rFonts w:hint="eastAsia" w:ascii="宋体" w:hAnsi="宋体" w:cs="宋体"/>
          <w:sz w:val="24"/>
          <w:szCs w:val="24"/>
        </w:rPr>
        <w:t>他人侵犯公司合法权益，给公司造成损失的，本条第一款规定的股东可以依照前两款的规定向人民法院提起诉讼。</w:t>
      </w:r>
    </w:p>
    <w:p w14:paraId="11185F3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第三十二条  </w:t>
      </w:r>
      <w:r>
        <w:rPr>
          <w:rFonts w:hint="eastAsia" w:ascii="宋体" w:hAnsi="宋体" w:cs="宋体"/>
          <w:sz w:val="24"/>
          <w:szCs w:val="24"/>
        </w:rPr>
        <w:t>董事、高级管理人员违反法律、行政法规或者本章程的规定，损害股东利益的，股东可以向人民法院提起诉讼。</w:t>
      </w:r>
    </w:p>
    <w:p w14:paraId="71A0434B">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第三十三条  </w:t>
      </w:r>
      <w:r>
        <w:rPr>
          <w:rFonts w:hint="eastAsia" w:ascii="宋体" w:hAnsi="宋体" w:cs="宋体"/>
          <w:sz w:val="24"/>
          <w:szCs w:val="24"/>
        </w:rPr>
        <w:t>公司股东承担下列义务：</w:t>
      </w:r>
    </w:p>
    <w:p w14:paraId="1E11BAD4">
      <w:pPr>
        <w:spacing w:line="360" w:lineRule="auto"/>
        <w:ind w:firstLine="480" w:firstLineChars="200"/>
        <w:rPr>
          <w:rFonts w:ascii="宋体" w:cs="Times New Roman"/>
          <w:sz w:val="24"/>
          <w:szCs w:val="24"/>
        </w:rPr>
      </w:pPr>
      <w:r>
        <w:rPr>
          <w:rFonts w:hint="eastAsia" w:ascii="宋体" w:hAnsi="宋体" w:cs="宋体"/>
          <w:sz w:val="24"/>
          <w:szCs w:val="24"/>
        </w:rPr>
        <w:t>（一）遵守法律、行政法规和本章程；</w:t>
      </w:r>
    </w:p>
    <w:p w14:paraId="35EA862D">
      <w:pPr>
        <w:spacing w:line="360" w:lineRule="auto"/>
        <w:ind w:firstLine="480" w:firstLineChars="200"/>
        <w:rPr>
          <w:rFonts w:ascii="宋体" w:cs="Times New Roman"/>
          <w:sz w:val="24"/>
          <w:szCs w:val="24"/>
        </w:rPr>
      </w:pPr>
      <w:r>
        <w:rPr>
          <w:rFonts w:hint="eastAsia" w:ascii="宋体" w:hAnsi="宋体" w:cs="宋体"/>
          <w:sz w:val="24"/>
          <w:szCs w:val="24"/>
        </w:rPr>
        <w:t>（二）依其所认购的股份和入股方式缴纳股金；</w:t>
      </w:r>
    </w:p>
    <w:p w14:paraId="66ED77C0">
      <w:pPr>
        <w:spacing w:line="360" w:lineRule="auto"/>
        <w:ind w:firstLine="480" w:firstLineChars="200"/>
        <w:rPr>
          <w:rFonts w:ascii="宋体" w:cs="Times New Roman"/>
          <w:sz w:val="24"/>
          <w:szCs w:val="24"/>
        </w:rPr>
      </w:pPr>
      <w:r>
        <w:rPr>
          <w:rFonts w:hint="eastAsia" w:ascii="宋体" w:hAnsi="宋体" w:cs="宋体"/>
          <w:sz w:val="24"/>
          <w:szCs w:val="24"/>
        </w:rPr>
        <w:t>（三）除法律、法规规定的情形外，不得退股；</w:t>
      </w:r>
    </w:p>
    <w:p w14:paraId="5761782A">
      <w:pPr>
        <w:tabs>
          <w:tab w:val="left" w:pos="2520"/>
          <w:tab w:val="left" w:pos="3150"/>
          <w:tab w:val="left" w:pos="3780"/>
        </w:tabs>
        <w:spacing w:line="360" w:lineRule="auto"/>
        <w:ind w:firstLine="480" w:firstLineChars="200"/>
        <w:rPr>
          <w:rFonts w:ascii="宋体" w:cs="Arial"/>
          <w:sz w:val="24"/>
          <w:szCs w:val="24"/>
        </w:rPr>
      </w:pPr>
      <w:r>
        <w:rPr>
          <w:rFonts w:hint="eastAsia" w:ascii="宋体" w:hAnsi="宋体" w:cs="宋体"/>
          <w:sz w:val="24"/>
          <w:szCs w:val="24"/>
        </w:rPr>
        <w:t>（四）</w:t>
      </w:r>
      <w:r>
        <w:rPr>
          <w:rFonts w:hint="eastAsia" w:ascii="宋体" w:hAnsi="宋体" w:cs="Arial"/>
          <w:sz w:val="24"/>
          <w:szCs w:val="24"/>
        </w:rPr>
        <w:t>不得滥用股东权利损害公司或者其他股东的利益，公司股东滥用股东权利给公司或者其他股东造成损失的，应当依法承担赔偿责任；</w:t>
      </w:r>
    </w:p>
    <w:p w14:paraId="41A92E36">
      <w:pPr>
        <w:tabs>
          <w:tab w:val="left" w:pos="2520"/>
          <w:tab w:val="left" w:pos="3150"/>
          <w:tab w:val="left" w:pos="3780"/>
        </w:tabs>
        <w:spacing w:line="360" w:lineRule="auto"/>
        <w:ind w:firstLine="480" w:firstLineChars="200"/>
        <w:rPr>
          <w:rFonts w:ascii="宋体" w:cs="Arial"/>
          <w:sz w:val="24"/>
          <w:szCs w:val="24"/>
        </w:rPr>
      </w:pPr>
      <w:r>
        <w:rPr>
          <w:rFonts w:hint="eastAsia" w:ascii="宋体" w:hAnsi="宋体" w:cs="Arial"/>
          <w:sz w:val="24"/>
          <w:szCs w:val="24"/>
        </w:rPr>
        <w:t>（五）不得滥用公司法人独立地位和股东有限责任损害公司债权人的利益；公司股东滥用公司法人独立地位和股东有限责任，逃避债务，严重损害公司债权人利益的，应当对公司债务承担连带责任；</w:t>
      </w:r>
    </w:p>
    <w:p w14:paraId="2742AE65">
      <w:pPr>
        <w:spacing w:line="360" w:lineRule="auto"/>
        <w:ind w:firstLine="480" w:firstLineChars="200"/>
        <w:rPr>
          <w:rFonts w:ascii="宋体" w:cs="Times New Roman"/>
          <w:sz w:val="24"/>
          <w:szCs w:val="24"/>
        </w:rPr>
      </w:pPr>
      <w:r>
        <w:rPr>
          <w:rFonts w:hint="eastAsia" w:ascii="宋体" w:hAnsi="宋体" w:cs="宋体"/>
          <w:sz w:val="24"/>
          <w:szCs w:val="24"/>
        </w:rPr>
        <w:t>（六）法律、行政法规及本章程规定应当承担的其他义务。</w:t>
      </w:r>
    </w:p>
    <w:p w14:paraId="3C11A251">
      <w:pPr>
        <w:spacing w:line="360" w:lineRule="auto"/>
        <w:ind w:firstLine="482" w:firstLineChars="200"/>
        <w:rPr>
          <w:rFonts w:ascii="宋体" w:cs="宋体"/>
          <w:sz w:val="24"/>
          <w:szCs w:val="24"/>
        </w:rPr>
      </w:pPr>
      <w:r>
        <w:rPr>
          <w:rFonts w:hint="eastAsia" w:ascii="宋体" w:hAnsi="宋体" w:cs="宋体"/>
          <w:b/>
          <w:bCs/>
          <w:sz w:val="24"/>
          <w:szCs w:val="24"/>
        </w:rPr>
        <w:t xml:space="preserve">第三十四条  </w:t>
      </w:r>
      <w:r>
        <w:rPr>
          <w:rFonts w:hint="eastAsia" w:ascii="宋体" w:hAnsi="宋体" w:cs="宋体"/>
          <w:sz w:val="24"/>
          <w:szCs w:val="24"/>
        </w:rPr>
        <w:t>持有公司</w:t>
      </w:r>
      <w:r>
        <w:rPr>
          <w:rFonts w:ascii="宋体" w:hAnsi="宋体" w:cs="宋体"/>
          <w:sz w:val="24"/>
          <w:szCs w:val="24"/>
        </w:rPr>
        <w:t>5%</w:t>
      </w:r>
      <w:r>
        <w:rPr>
          <w:rFonts w:hint="eastAsia" w:ascii="宋体" w:hAnsi="宋体" w:cs="宋体"/>
          <w:sz w:val="24"/>
          <w:szCs w:val="24"/>
        </w:rPr>
        <w:t>以上有表决权股份的股东，将其持有的股份进行质押的，应当自该事实发生当日，向公司作出书面报告。</w:t>
      </w:r>
    </w:p>
    <w:p w14:paraId="29A43CED">
      <w:pPr>
        <w:spacing w:line="360" w:lineRule="auto"/>
        <w:ind w:firstLine="482" w:firstLineChars="200"/>
        <w:rPr>
          <w:rFonts w:ascii="宋体" w:cs="宋体"/>
          <w:sz w:val="24"/>
          <w:szCs w:val="24"/>
        </w:rPr>
      </w:pPr>
      <w:r>
        <w:rPr>
          <w:rFonts w:hint="eastAsia" w:ascii="宋体" w:hAnsi="宋体" w:cs="宋体"/>
          <w:b/>
          <w:sz w:val="24"/>
          <w:szCs w:val="24"/>
        </w:rPr>
        <w:t xml:space="preserve">第三十五条  </w:t>
      </w:r>
      <w:r>
        <w:rPr>
          <w:rFonts w:hint="eastAsia" w:ascii="宋体" w:hAnsi="宋体" w:cs="宋体"/>
          <w:sz w:val="24"/>
          <w:szCs w:val="24"/>
        </w:rPr>
        <w:t>公司应该按照关联交易决策制度等规定，规范实施公司与控股股东、实际控制人及其关联方通过购买、销售等生产经营环节产生的关联交易行为。发生关联交易行为后，应及时结算，不得形成非正常的经营性资金占用。</w:t>
      </w:r>
    </w:p>
    <w:p w14:paraId="68E73B9D">
      <w:pPr>
        <w:spacing w:line="360" w:lineRule="auto"/>
        <w:ind w:firstLine="480" w:firstLineChars="200"/>
        <w:rPr>
          <w:rFonts w:ascii="宋体" w:cs="Times New Roman"/>
          <w:sz w:val="24"/>
          <w:szCs w:val="24"/>
        </w:rPr>
      </w:pPr>
      <w:r>
        <w:rPr>
          <w:rFonts w:hint="eastAsia" w:ascii="宋体" w:hAnsi="宋体" w:cs="宋体"/>
          <w:sz w:val="24"/>
          <w:szCs w:val="24"/>
        </w:rPr>
        <w:t>公司应制定防治控股股东、实际控制人及其关联方占用公司资金制度，建立资金的长效机制，杜绝控股股东、实际控制人及其关联方资金占用行为的发生，保障公司和中小股东利益。</w:t>
      </w:r>
    </w:p>
    <w:p w14:paraId="25B7A439">
      <w:pPr>
        <w:spacing w:line="360" w:lineRule="auto"/>
        <w:ind w:firstLine="482" w:firstLineChars="200"/>
        <w:rPr>
          <w:rFonts w:ascii="宋体" w:cs="宋体"/>
          <w:sz w:val="24"/>
          <w:szCs w:val="24"/>
        </w:rPr>
      </w:pPr>
      <w:r>
        <w:rPr>
          <w:rFonts w:hint="eastAsia" w:ascii="宋体" w:hAnsi="宋体" w:cs="宋体"/>
          <w:b/>
          <w:bCs/>
          <w:sz w:val="24"/>
          <w:szCs w:val="24"/>
        </w:rPr>
        <w:t xml:space="preserve">第三十六条  </w:t>
      </w:r>
      <w:r>
        <w:rPr>
          <w:rFonts w:hint="eastAsia" w:ascii="宋体" w:hAnsi="宋体" w:cs="宋体"/>
          <w:sz w:val="24"/>
          <w:szCs w:val="24"/>
        </w:rPr>
        <w:t>公司的控股股东、实际控制人员不得利用其关联关系损害公司利益。违反规定给公司造成损失的，应当承担赔偿责任。</w:t>
      </w:r>
    </w:p>
    <w:p w14:paraId="3F0C7E83">
      <w:pPr>
        <w:tabs>
          <w:tab w:val="left" w:pos="1890"/>
          <w:tab w:val="left" w:pos="2520"/>
          <w:tab w:val="left" w:pos="3150"/>
          <w:tab w:val="left" w:pos="3780"/>
        </w:tabs>
        <w:spacing w:line="360" w:lineRule="auto"/>
        <w:ind w:firstLine="480" w:firstLineChars="200"/>
        <w:rPr>
          <w:rFonts w:ascii="宋体" w:cs="Arial"/>
          <w:sz w:val="24"/>
          <w:szCs w:val="24"/>
        </w:rPr>
      </w:pPr>
      <w:r>
        <w:rPr>
          <w:rFonts w:hint="eastAsia" w:ascii="宋体" w:hAnsi="宋体" w:cs="Arial"/>
          <w:sz w:val="24"/>
          <w:szCs w:val="24"/>
        </w:rPr>
        <w:t>公司控股股东及实际控制人对公司和公司全体股东负有诚信义务。控股股东应严格依法行使出资人的权利，控股股东不得利用利润分配、资产重组、对外投资、资金占用、借款担保等方式损害公司和其他股东的合法权益，不得利用其控制地位损害公司和其他股东的利益。</w:t>
      </w:r>
    </w:p>
    <w:p w14:paraId="376BE886">
      <w:pPr>
        <w:pStyle w:val="3"/>
        <w:rPr>
          <w:rFonts w:cs="宋体"/>
        </w:rPr>
      </w:pPr>
      <w:bookmarkStart w:id="44" w:name="_Toc425712704"/>
      <w:bookmarkStart w:id="45" w:name="_Toc287717016"/>
      <w:bookmarkStart w:id="46" w:name="_Toc215991588"/>
      <w:bookmarkStart w:id="47" w:name="_Toc262635794"/>
      <w:bookmarkStart w:id="48" w:name="_Toc137879465"/>
      <w:bookmarkStart w:id="49" w:name="_Toc314734393"/>
      <w:r>
        <w:rPr>
          <w:rFonts w:hint="eastAsia" w:cs="宋体"/>
        </w:rPr>
        <w:t>第二节  股东大会的一般规定</w:t>
      </w:r>
      <w:bookmarkEnd w:id="44"/>
      <w:bookmarkEnd w:id="45"/>
      <w:bookmarkEnd w:id="46"/>
      <w:bookmarkEnd w:id="47"/>
      <w:bookmarkEnd w:id="48"/>
      <w:bookmarkEnd w:id="49"/>
    </w:p>
    <w:p w14:paraId="45BB1D67">
      <w:pPr>
        <w:spacing w:line="360" w:lineRule="auto"/>
        <w:ind w:left="120" w:firstLine="482" w:firstLineChars="200"/>
        <w:rPr>
          <w:rFonts w:ascii="宋体" w:cs="Times New Roman"/>
          <w:sz w:val="24"/>
          <w:szCs w:val="24"/>
        </w:rPr>
      </w:pPr>
      <w:r>
        <w:rPr>
          <w:rFonts w:hint="eastAsia" w:ascii="宋体" w:hAnsi="宋体" w:cs="宋体"/>
          <w:b/>
          <w:bCs/>
          <w:sz w:val="24"/>
          <w:szCs w:val="24"/>
        </w:rPr>
        <w:t xml:space="preserve">第三十七条  </w:t>
      </w:r>
      <w:r>
        <w:rPr>
          <w:rFonts w:hint="eastAsia" w:ascii="宋体" w:hAnsi="宋体" w:cs="宋体"/>
          <w:sz w:val="24"/>
          <w:szCs w:val="24"/>
        </w:rPr>
        <w:t>股东大会是公司的权力机构，依法行使下列职权：</w:t>
      </w:r>
    </w:p>
    <w:p w14:paraId="5E86B96A">
      <w:pPr>
        <w:spacing w:line="360" w:lineRule="auto"/>
        <w:ind w:firstLine="480" w:firstLineChars="200"/>
        <w:rPr>
          <w:rFonts w:ascii="宋体" w:cs="Times New Roman"/>
          <w:sz w:val="24"/>
          <w:szCs w:val="24"/>
        </w:rPr>
      </w:pPr>
      <w:r>
        <w:rPr>
          <w:rFonts w:hint="eastAsia" w:ascii="宋体" w:hAnsi="宋体" w:cs="宋体"/>
          <w:sz w:val="24"/>
          <w:szCs w:val="24"/>
        </w:rPr>
        <w:t>（一）决定公司的经营方针和投资计划；</w:t>
      </w:r>
    </w:p>
    <w:p w14:paraId="67D18B5C">
      <w:pPr>
        <w:spacing w:line="360" w:lineRule="auto"/>
        <w:ind w:firstLine="480" w:firstLineChars="200"/>
        <w:rPr>
          <w:rFonts w:ascii="宋体" w:cs="宋体"/>
          <w:sz w:val="24"/>
          <w:szCs w:val="24"/>
        </w:rPr>
      </w:pPr>
      <w:r>
        <w:rPr>
          <w:rFonts w:hint="eastAsia" w:ascii="宋体" w:hAnsi="宋体" w:cs="宋体"/>
          <w:sz w:val="24"/>
          <w:szCs w:val="24"/>
        </w:rPr>
        <w:t>（二）选举和更换非由职工代表担任的董事，决定有关董事的报酬事项；</w:t>
      </w:r>
    </w:p>
    <w:p w14:paraId="2B275DE9">
      <w:pPr>
        <w:spacing w:line="360" w:lineRule="auto"/>
        <w:ind w:firstLine="480" w:firstLineChars="200"/>
        <w:rPr>
          <w:rFonts w:ascii="宋体" w:cs="Times New Roman"/>
          <w:sz w:val="24"/>
          <w:szCs w:val="24"/>
        </w:rPr>
      </w:pPr>
      <w:r>
        <w:rPr>
          <w:rFonts w:hint="eastAsia" w:ascii="宋体" w:hAnsi="宋体" w:cs="宋体"/>
          <w:sz w:val="24"/>
          <w:szCs w:val="24"/>
        </w:rPr>
        <w:t>（三）选举和更换非由职工代表担任的监事，决定有关监事的报酬事项；</w:t>
      </w:r>
    </w:p>
    <w:p w14:paraId="05861C38">
      <w:pPr>
        <w:spacing w:line="360" w:lineRule="auto"/>
        <w:ind w:firstLine="480" w:firstLineChars="200"/>
        <w:rPr>
          <w:rFonts w:ascii="宋体" w:cs="Times New Roman"/>
          <w:sz w:val="24"/>
          <w:szCs w:val="24"/>
        </w:rPr>
      </w:pPr>
      <w:r>
        <w:rPr>
          <w:rFonts w:hint="eastAsia" w:ascii="宋体" w:hAnsi="宋体" w:cs="宋体"/>
          <w:sz w:val="24"/>
          <w:szCs w:val="24"/>
        </w:rPr>
        <w:t>（四）审议批准董事会的报告；</w:t>
      </w:r>
    </w:p>
    <w:p w14:paraId="35F7D942">
      <w:pPr>
        <w:spacing w:line="360" w:lineRule="auto"/>
        <w:ind w:firstLine="480" w:firstLineChars="200"/>
        <w:rPr>
          <w:rFonts w:ascii="宋体" w:cs="Times New Roman"/>
          <w:sz w:val="24"/>
          <w:szCs w:val="24"/>
        </w:rPr>
      </w:pPr>
      <w:r>
        <w:rPr>
          <w:rFonts w:hint="eastAsia" w:ascii="宋体" w:hAnsi="宋体" w:cs="宋体"/>
          <w:sz w:val="24"/>
          <w:szCs w:val="24"/>
        </w:rPr>
        <w:t>（五）审议批准监事会的报告；</w:t>
      </w:r>
    </w:p>
    <w:p w14:paraId="77382FAC">
      <w:pPr>
        <w:spacing w:line="360" w:lineRule="auto"/>
        <w:ind w:firstLine="480" w:firstLineChars="200"/>
        <w:rPr>
          <w:rFonts w:ascii="宋体" w:cs="Times New Roman"/>
          <w:sz w:val="24"/>
          <w:szCs w:val="24"/>
        </w:rPr>
      </w:pPr>
      <w:r>
        <w:rPr>
          <w:rFonts w:hint="eastAsia" w:ascii="宋体" w:hAnsi="宋体" w:cs="宋体"/>
          <w:sz w:val="24"/>
          <w:szCs w:val="24"/>
        </w:rPr>
        <w:t>（六）审议批准公司的年度财务预算方案、决算方案；</w:t>
      </w:r>
    </w:p>
    <w:p w14:paraId="4A205D27">
      <w:pPr>
        <w:spacing w:line="360" w:lineRule="auto"/>
        <w:ind w:firstLine="480" w:firstLineChars="200"/>
        <w:rPr>
          <w:rFonts w:ascii="宋体" w:cs="Times New Roman"/>
          <w:sz w:val="24"/>
          <w:szCs w:val="24"/>
        </w:rPr>
      </w:pPr>
      <w:r>
        <w:rPr>
          <w:rFonts w:hint="eastAsia" w:ascii="宋体" w:hAnsi="宋体" w:cs="宋体"/>
          <w:sz w:val="24"/>
          <w:szCs w:val="24"/>
        </w:rPr>
        <w:t>（七）审议批准公司的利润分配方案和弥补亏损方案；</w:t>
      </w:r>
    </w:p>
    <w:p w14:paraId="12B4D0C8">
      <w:pPr>
        <w:spacing w:line="360" w:lineRule="auto"/>
        <w:ind w:firstLine="480" w:firstLineChars="200"/>
        <w:rPr>
          <w:rFonts w:ascii="宋体" w:cs="Times New Roman"/>
          <w:sz w:val="24"/>
          <w:szCs w:val="24"/>
        </w:rPr>
      </w:pPr>
      <w:r>
        <w:rPr>
          <w:rFonts w:hint="eastAsia" w:ascii="宋体" w:hAnsi="宋体" w:cs="宋体"/>
          <w:sz w:val="24"/>
          <w:szCs w:val="24"/>
        </w:rPr>
        <w:t>（八）对公司增加或者减少注册资本作出决议；</w:t>
      </w:r>
    </w:p>
    <w:p w14:paraId="1206FCB8">
      <w:pPr>
        <w:spacing w:line="360" w:lineRule="auto"/>
        <w:ind w:firstLine="480" w:firstLineChars="200"/>
        <w:rPr>
          <w:rFonts w:ascii="宋体" w:cs="Times New Roman"/>
          <w:sz w:val="24"/>
          <w:szCs w:val="24"/>
        </w:rPr>
      </w:pPr>
      <w:r>
        <w:rPr>
          <w:rFonts w:hint="eastAsia" w:ascii="宋体" w:hAnsi="宋体" w:cs="宋体"/>
          <w:sz w:val="24"/>
          <w:szCs w:val="24"/>
        </w:rPr>
        <w:t>（九）对发行公司债券作出决议；</w:t>
      </w:r>
    </w:p>
    <w:p w14:paraId="0ABFA665">
      <w:pPr>
        <w:spacing w:line="360" w:lineRule="auto"/>
        <w:ind w:firstLine="480" w:firstLineChars="200"/>
        <w:rPr>
          <w:rFonts w:ascii="宋体" w:cs="Times New Roman"/>
          <w:sz w:val="24"/>
          <w:szCs w:val="24"/>
        </w:rPr>
      </w:pPr>
      <w:r>
        <w:rPr>
          <w:rFonts w:hint="eastAsia" w:ascii="宋体" w:hAnsi="宋体" w:cs="宋体"/>
          <w:sz w:val="24"/>
          <w:szCs w:val="24"/>
        </w:rPr>
        <w:t>（十）对公司合并、分立、解散、清算或者变更公司形式作出决议；</w:t>
      </w:r>
    </w:p>
    <w:p w14:paraId="26795625">
      <w:pPr>
        <w:spacing w:line="360" w:lineRule="auto"/>
        <w:ind w:firstLine="480" w:firstLineChars="200"/>
        <w:rPr>
          <w:rFonts w:ascii="宋体" w:cs="Times New Roman"/>
          <w:sz w:val="24"/>
          <w:szCs w:val="24"/>
        </w:rPr>
      </w:pPr>
      <w:r>
        <w:rPr>
          <w:rFonts w:hint="eastAsia" w:ascii="宋体" w:hAnsi="宋体" w:cs="宋体"/>
          <w:sz w:val="24"/>
          <w:szCs w:val="24"/>
        </w:rPr>
        <w:t>（十一）修改《公司章程》；</w:t>
      </w:r>
    </w:p>
    <w:p w14:paraId="47D03C6F">
      <w:pPr>
        <w:spacing w:line="360" w:lineRule="auto"/>
        <w:ind w:firstLine="480" w:firstLineChars="200"/>
        <w:rPr>
          <w:rFonts w:ascii="宋体" w:cs="Times New Roman"/>
          <w:sz w:val="24"/>
          <w:szCs w:val="24"/>
        </w:rPr>
      </w:pPr>
      <w:r>
        <w:rPr>
          <w:rFonts w:hint="eastAsia" w:ascii="宋体" w:hAnsi="宋体" w:cs="宋体"/>
          <w:sz w:val="24"/>
          <w:szCs w:val="24"/>
        </w:rPr>
        <w:t>（十二）对公司聘用、解聘会计师事务所作出决议；</w:t>
      </w:r>
    </w:p>
    <w:p w14:paraId="579CB9E0">
      <w:pPr>
        <w:spacing w:line="360" w:lineRule="auto"/>
        <w:ind w:firstLine="480" w:firstLineChars="200"/>
        <w:rPr>
          <w:rFonts w:ascii="宋体" w:cs="Times New Roman"/>
          <w:sz w:val="24"/>
          <w:szCs w:val="24"/>
        </w:rPr>
      </w:pPr>
      <w:r>
        <w:rPr>
          <w:rFonts w:hint="eastAsia" w:ascii="宋体" w:hAnsi="宋体" w:cs="宋体"/>
          <w:sz w:val="24"/>
          <w:szCs w:val="24"/>
        </w:rPr>
        <w:t>（十三）审议批准本章程第三十八条规定的担保事项；</w:t>
      </w:r>
    </w:p>
    <w:p w14:paraId="45E54A60">
      <w:pPr>
        <w:spacing w:line="360" w:lineRule="auto"/>
        <w:ind w:firstLine="480" w:firstLineChars="200"/>
        <w:rPr>
          <w:rFonts w:ascii="宋体" w:cs="宋体"/>
          <w:sz w:val="24"/>
          <w:szCs w:val="24"/>
        </w:rPr>
      </w:pPr>
      <w:r>
        <w:rPr>
          <w:rFonts w:hint="eastAsia" w:ascii="宋体" w:hAnsi="宋体" w:cs="宋体"/>
          <w:sz w:val="24"/>
          <w:szCs w:val="24"/>
        </w:rPr>
        <w:t>（十四）审议公司在一年（或连续十二个月）购买出售重大资产超过公司最近一期经审计总资产</w:t>
      </w:r>
      <w:r>
        <w:rPr>
          <w:rFonts w:ascii="宋体" w:hAnsi="宋体" w:cs="宋体"/>
          <w:sz w:val="24"/>
          <w:szCs w:val="24"/>
        </w:rPr>
        <w:t>30%</w:t>
      </w:r>
      <w:r>
        <w:rPr>
          <w:rFonts w:hint="eastAsia" w:ascii="宋体" w:hAnsi="宋体" w:cs="宋体"/>
          <w:sz w:val="24"/>
          <w:szCs w:val="24"/>
        </w:rPr>
        <w:t>的事项；</w:t>
      </w:r>
    </w:p>
    <w:p w14:paraId="400DD2C3">
      <w:pPr>
        <w:spacing w:line="360" w:lineRule="auto"/>
        <w:ind w:firstLine="480" w:firstLineChars="200"/>
        <w:rPr>
          <w:rFonts w:ascii="宋体" w:cs="宋体"/>
          <w:sz w:val="24"/>
          <w:szCs w:val="24"/>
        </w:rPr>
      </w:pPr>
      <w:r>
        <w:rPr>
          <w:rFonts w:ascii="宋体" w:hAnsi="宋体" w:cs="Arial"/>
          <w:kern w:val="0"/>
          <w:sz w:val="24"/>
          <w:szCs w:val="24"/>
        </w:rPr>
        <w:t xml:space="preserve"> (</w:t>
      </w:r>
      <w:r>
        <w:rPr>
          <w:rFonts w:hint="eastAsia" w:ascii="宋体" w:hAnsi="宋体" w:cs="Arial"/>
          <w:kern w:val="0"/>
          <w:sz w:val="24"/>
          <w:szCs w:val="24"/>
        </w:rPr>
        <w:t>十五</w:t>
      </w:r>
      <w:r>
        <w:rPr>
          <w:rFonts w:ascii="宋体" w:hAnsi="宋体" w:cs="Arial"/>
          <w:kern w:val="0"/>
          <w:sz w:val="24"/>
          <w:szCs w:val="24"/>
        </w:rPr>
        <w:t>)</w:t>
      </w:r>
      <w:r>
        <w:rPr>
          <w:rFonts w:hint="eastAsia" w:ascii="宋体" w:hAnsi="宋体" w:cs="Arial"/>
          <w:kern w:val="0"/>
          <w:sz w:val="24"/>
          <w:szCs w:val="24"/>
        </w:rPr>
        <w:t>审议股权激励计划；</w:t>
      </w:r>
    </w:p>
    <w:p w14:paraId="5198B1CA">
      <w:pPr>
        <w:tabs>
          <w:tab w:val="left" w:pos="1410"/>
          <w:tab w:val="left" w:pos="2694"/>
          <w:tab w:val="left" w:pos="3150"/>
          <w:tab w:val="left" w:pos="3780"/>
        </w:tabs>
        <w:spacing w:line="360" w:lineRule="auto"/>
        <w:ind w:firstLine="600" w:firstLineChars="250"/>
        <w:rPr>
          <w:rFonts w:ascii="宋体" w:cs="Arial"/>
          <w:kern w:val="0"/>
          <w:sz w:val="24"/>
          <w:szCs w:val="24"/>
        </w:rPr>
      </w:pPr>
      <w:r>
        <w:rPr>
          <w:rFonts w:ascii="宋体" w:hAnsi="宋体" w:cs="Arial"/>
          <w:kern w:val="0"/>
          <w:sz w:val="24"/>
          <w:szCs w:val="24"/>
        </w:rPr>
        <w:t>(</w:t>
      </w:r>
      <w:r>
        <w:rPr>
          <w:rFonts w:hint="eastAsia" w:ascii="宋体" w:hAnsi="宋体" w:cs="Arial"/>
          <w:kern w:val="0"/>
          <w:sz w:val="24"/>
          <w:szCs w:val="24"/>
        </w:rPr>
        <w:t>十六</w:t>
      </w:r>
      <w:r>
        <w:rPr>
          <w:rFonts w:ascii="宋体" w:hAnsi="宋体" w:cs="Arial"/>
          <w:kern w:val="0"/>
          <w:sz w:val="24"/>
          <w:szCs w:val="24"/>
        </w:rPr>
        <w:t>)</w:t>
      </w:r>
      <w:r>
        <w:rPr>
          <w:rFonts w:ascii="宋体" w:cs="Arial"/>
          <w:kern w:val="0"/>
          <w:sz w:val="24"/>
          <w:szCs w:val="24"/>
        </w:rPr>
        <w:tab/>
      </w:r>
      <w:r>
        <w:rPr>
          <w:rFonts w:hint="eastAsia" w:ascii="宋体" w:hAnsi="宋体" w:cs="Arial"/>
          <w:kern w:val="0"/>
          <w:sz w:val="24"/>
          <w:szCs w:val="24"/>
        </w:rPr>
        <w:t>审议法律、行政法规、部门规章或本章程规定应当由股东大会决定的其他事项。</w:t>
      </w:r>
    </w:p>
    <w:p w14:paraId="1EEE1736">
      <w:pPr>
        <w:spacing w:line="360" w:lineRule="auto"/>
        <w:ind w:firstLine="482" w:firstLineChars="200"/>
        <w:rPr>
          <w:rFonts w:ascii="宋体"/>
          <w:sz w:val="24"/>
          <w:szCs w:val="24"/>
        </w:rPr>
      </w:pPr>
      <w:r>
        <w:rPr>
          <w:rFonts w:hint="eastAsia" w:ascii="宋体" w:hAnsi="宋体" w:cs="宋体"/>
          <w:b/>
          <w:bCs/>
          <w:sz w:val="24"/>
          <w:szCs w:val="24"/>
        </w:rPr>
        <w:t xml:space="preserve">第三十八条  </w:t>
      </w:r>
      <w:r>
        <w:rPr>
          <w:rFonts w:hint="eastAsia" w:ascii="宋体" w:hAnsi="宋体" w:cs="Arial"/>
          <w:kern w:val="0"/>
          <w:sz w:val="24"/>
          <w:szCs w:val="24"/>
        </w:rPr>
        <w:t>公司下列对外担保行为，须经</w:t>
      </w:r>
      <w:r>
        <w:rPr>
          <w:rFonts w:hint="eastAsia" w:ascii="宋体" w:hAnsi="宋体"/>
          <w:sz w:val="24"/>
          <w:szCs w:val="24"/>
        </w:rPr>
        <w:t>董事会审议通过后提交</w:t>
      </w:r>
      <w:r>
        <w:rPr>
          <w:rFonts w:hint="eastAsia" w:ascii="宋体" w:hAnsi="宋体" w:cs="Arial"/>
          <w:kern w:val="0"/>
          <w:sz w:val="24"/>
          <w:szCs w:val="24"/>
        </w:rPr>
        <w:t>股东大会审议通过。</w:t>
      </w:r>
    </w:p>
    <w:p w14:paraId="48EAA6D6">
      <w:pPr>
        <w:spacing w:line="360" w:lineRule="auto"/>
        <w:ind w:firstLine="480" w:firstLineChars="200"/>
        <w:rPr>
          <w:rFonts w:ascii="宋体"/>
          <w:sz w:val="24"/>
          <w:szCs w:val="24"/>
        </w:rPr>
      </w:pPr>
      <w:r>
        <w:rPr>
          <w:rFonts w:hint="eastAsia" w:ascii="宋体" w:hAnsi="宋体"/>
          <w:sz w:val="24"/>
          <w:szCs w:val="24"/>
        </w:rPr>
        <w:t>（一）单笔担保额超过公司最近一期经审计净资产</w:t>
      </w:r>
      <w:r>
        <w:rPr>
          <w:rFonts w:ascii="宋体" w:hAnsi="宋体"/>
          <w:sz w:val="24"/>
          <w:szCs w:val="24"/>
        </w:rPr>
        <w:t>10%</w:t>
      </w:r>
      <w:r>
        <w:rPr>
          <w:rFonts w:hint="eastAsia" w:ascii="宋体" w:hAnsi="宋体"/>
          <w:sz w:val="24"/>
          <w:szCs w:val="24"/>
        </w:rPr>
        <w:t>的担保；</w:t>
      </w:r>
    </w:p>
    <w:p w14:paraId="72D6F758">
      <w:pPr>
        <w:spacing w:line="360" w:lineRule="auto"/>
        <w:ind w:firstLine="480" w:firstLineChars="200"/>
        <w:rPr>
          <w:rFonts w:ascii="宋体"/>
          <w:sz w:val="24"/>
          <w:szCs w:val="24"/>
        </w:rPr>
      </w:pPr>
      <w:r>
        <w:rPr>
          <w:rFonts w:hint="eastAsia" w:ascii="宋体" w:hAnsi="宋体"/>
          <w:sz w:val="24"/>
          <w:szCs w:val="24"/>
        </w:rPr>
        <w:t>（二）公司及公司控股子公司的对外担保总额，达到或超过最近一期经审计净资产的</w:t>
      </w:r>
      <w:r>
        <w:rPr>
          <w:rFonts w:ascii="宋体" w:hAnsi="宋体" w:cs="Times New Roman"/>
          <w:sz w:val="24"/>
          <w:szCs w:val="24"/>
        </w:rPr>
        <w:t>50%</w:t>
      </w:r>
      <w:r>
        <w:rPr>
          <w:rFonts w:hint="eastAsia" w:ascii="宋体" w:hAnsi="宋体"/>
          <w:sz w:val="24"/>
          <w:szCs w:val="24"/>
        </w:rPr>
        <w:t>以后提供的任何担保；</w:t>
      </w:r>
    </w:p>
    <w:p w14:paraId="5FC09E11">
      <w:pPr>
        <w:spacing w:line="360" w:lineRule="auto"/>
        <w:ind w:firstLine="480" w:firstLineChars="200"/>
        <w:rPr>
          <w:rFonts w:ascii="宋体"/>
          <w:sz w:val="24"/>
          <w:szCs w:val="24"/>
        </w:rPr>
      </w:pPr>
      <w:r>
        <w:rPr>
          <w:rFonts w:hint="eastAsia" w:ascii="宋体" w:hAnsi="宋体"/>
          <w:sz w:val="24"/>
          <w:szCs w:val="24"/>
        </w:rPr>
        <w:t>（三）公司的对外担保总额，达到或超过最近一期经审计总资产</w:t>
      </w:r>
      <w:r>
        <w:rPr>
          <w:rFonts w:ascii="宋体" w:hAnsi="宋体"/>
          <w:sz w:val="24"/>
          <w:szCs w:val="24"/>
        </w:rPr>
        <w:t>30%</w:t>
      </w:r>
      <w:r>
        <w:rPr>
          <w:rFonts w:hint="eastAsia" w:ascii="宋体" w:hAnsi="宋体"/>
          <w:sz w:val="24"/>
          <w:szCs w:val="24"/>
        </w:rPr>
        <w:t>以后提供的任何担保；</w:t>
      </w:r>
    </w:p>
    <w:p w14:paraId="033D57B7">
      <w:pPr>
        <w:spacing w:line="360" w:lineRule="auto"/>
        <w:ind w:firstLine="480" w:firstLineChars="200"/>
        <w:rPr>
          <w:rFonts w:ascii="宋体"/>
          <w:sz w:val="24"/>
          <w:szCs w:val="24"/>
        </w:rPr>
      </w:pPr>
      <w:r>
        <w:rPr>
          <w:rFonts w:hint="eastAsia" w:ascii="宋体" w:hAnsi="宋体"/>
          <w:sz w:val="24"/>
          <w:szCs w:val="24"/>
        </w:rPr>
        <w:t>（四）为资产负债率超过</w:t>
      </w:r>
      <w:r>
        <w:rPr>
          <w:rFonts w:ascii="宋体" w:hAnsi="宋体"/>
          <w:sz w:val="24"/>
          <w:szCs w:val="24"/>
        </w:rPr>
        <w:t>70%</w:t>
      </w:r>
      <w:r>
        <w:rPr>
          <w:rFonts w:hint="eastAsia" w:ascii="宋体" w:hAnsi="宋体"/>
          <w:sz w:val="24"/>
          <w:szCs w:val="24"/>
        </w:rPr>
        <w:t>的担保对象提供的担保；</w:t>
      </w:r>
    </w:p>
    <w:p w14:paraId="68E5EA31">
      <w:pPr>
        <w:spacing w:line="360" w:lineRule="auto"/>
        <w:ind w:firstLine="480" w:firstLineChars="200"/>
        <w:rPr>
          <w:rFonts w:ascii="宋体"/>
          <w:sz w:val="24"/>
          <w:szCs w:val="24"/>
        </w:rPr>
      </w:pPr>
      <w:r>
        <w:rPr>
          <w:rFonts w:hint="eastAsia" w:ascii="宋体" w:hAnsi="宋体"/>
          <w:sz w:val="24"/>
          <w:szCs w:val="24"/>
        </w:rPr>
        <w:t>（五）在一年内或连续十二个月内担保金额超过公司最近一期经审计总资产的</w:t>
      </w:r>
      <w:r>
        <w:rPr>
          <w:rFonts w:ascii="宋体" w:hAnsi="宋体"/>
          <w:sz w:val="24"/>
          <w:szCs w:val="24"/>
        </w:rPr>
        <w:t>30%</w:t>
      </w:r>
      <w:r>
        <w:rPr>
          <w:rFonts w:hint="eastAsia" w:ascii="宋体" w:hAnsi="宋体"/>
          <w:sz w:val="24"/>
          <w:szCs w:val="24"/>
        </w:rPr>
        <w:t>；</w:t>
      </w:r>
    </w:p>
    <w:p w14:paraId="2AF287DA">
      <w:pPr>
        <w:spacing w:line="360" w:lineRule="auto"/>
        <w:ind w:firstLine="480" w:firstLineChars="200"/>
        <w:rPr>
          <w:rFonts w:ascii="宋体"/>
          <w:sz w:val="24"/>
          <w:szCs w:val="24"/>
        </w:rPr>
      </w:pPr>
      <w:r>
        <w:rPr>
          <w:rFonts w:hint="eastAsia" w:ascii="宋体" w:hAnsi="宋体"/>
          <w:sz w:val="24"/>
          <w:szCs w:val="24"/>
        </w:rPr>
        <w:t>（六）连续十二个月内担保金额超过公司最近一期经审计净资产的</w:t>
      </w:r>
      <w:r>
        <w:rPr>
          <w:rFonts w:ascii="宋体" w:hAnsi="宋体"/>
          <w:sz w:val="24"/>
          <w:szCs w:val="24"/>
        </w:rPr>
        <w:t>50%</w:t>
      </w:r>
      <w:r>
        <w:rPr>
          <w:rFonts w:hint="eastAsia" w:ascii="宋体" w:hAnsi="宋体"/>
          <w:sz w:val="24"/>
          <w:szCs w:val="24"/>
        </w:rPr>
        <w:t>，且绝对金额超过</w:t>
      </w:r>
      <w:r>
        <w:rPr>
          <w:rFonts w:ascii="宋体"/>
          <w:sz w:val="24"/>
          <w:szCs w:val="24"/>
        </w:rPr>
        <w:t>,</w:t>
      </w:r>
      <w:r>
        <w:rPr>
          <w:rFonts w:ascii="宋体" w:hAnsi="宋体"/>
          <w:sz w:val="24"/>
          <w:szCs w:val="24"/>
        </w:rPr>
        <w:t>3</w:t>
      </w:r>
      <w:r>
        <w:rPr>
          <w:rFonts w:ascii="宋体"/>
          <w:sz w:val="24"/>
          <w:szCs w:val="24"/>
        </w:rPr>
        <w:t>000</w:t>
      </w:r>
      <w:r>
        <w:rPr>
          <w:rFonts w:hint="eastAsia" w:ascii="宋体" w:hAnsi="宋体"/>
          <w:sz w:val="24"/>
          <w:szCs w:val="24"/>
        </w:rPr>
        <w:t>万元人民币；</w:t>
      </w:r>
    </w:p>
    <w:p w14:paraId="5CDAA9F2">
      <w:pPr>
        <w:spacing w:line="360" w:lineRule="auto"/>
        <w:ind w:firstLine="480" w:firstLineChars="200"/>
        <w:rPr>
          <w:rFonts w:ascii="宋体"/>
          <w:sz w:val="24"/>
          <w:szCs w:val="24"/>
        </w:rPr>
      </w:pPr>
      <w:r>
        <w:rPr>
          <w:rFonts w:hint="eastAsia" w:ascii="宋体" w:hAnsi="宋体"/>
          <w:sz w:val="24"/>
          <w:szCs w:val="24"/>
        </w:rPr>
        <w:t>（七）对股东、实际控制人及其关联人提供的担保；</w:t>
      </w:r>
    </w:p>
    <w:p w14:paraId="1114C334">
      <w:pPr>
        <w:spacing w:line="360" w:lineRule="auto"/>
        <w:ind w:firstLine="480" w:firstLineChars="200"/>
        <w:rPr>
          <w:rFonts w:ascii="宋体" w:cs="宋体"/>
          <w:sz w:val="24"/>
          <w:szCs w:val="24"/>
        </w:rPr>
      </w:pPr>
      <w:r>
        <w:rPr>
          <w:rFonts w:hint="eastAsia" w:ascii="宋体" w:hAnsi="宋体" w:cs="宋体"/>
          <w:sz w:val="24"/>
          <w:szCs w:val="24"/>
        </w:rPr>
        <w:t>董事会审议有关对外担保议案时，须经全体董事的过半数、出席会议的三分之二以上董事同意。</w:t>
      </w:r>
    </w:p>
    <w:p w14:paraId="2C9DB7D7">
      <w:pPr>
        <w:spacing w:line="360" w:lineRule="auto"/>
        <w:ind w:firstLine="480" w:firstLineChars="200"/>
        <w:rPr>
          <w:rFonts w:ascii="宋体" w:cs="Times New Roman"/>
          <w:sz w:val="24"/>
          <w:szCs w:val="24"/>
        </w:rPr>
      </w:pPr>
      <w:r>
        <w:rPr>
          <w:rFonts w:hint="eastAsia" w:ascii="宋体" w:hAnsi="宋体"/>
          <w:sz w:val="24"/>
          <w:szCs w:val="24"/>
        </w:rPr>
        <w:t>股东大会审议本条第一款第（五）项担保事项时，应经出席会议的股东所持表决权的三分之二以上通过。</w:t>
      </w:r>
    </w:p>
    <w:p w14:paraId="50D5868D">
      <w:pPr>
        <w:spacing w:line="360" w:lineRule="auto"/>
        <w:ind w:firstLine="480" w:firstLineChars="200"/>
        <w:rPr>
          <w:rFonts w:ascii="宋体" w:cs="Times New Roman"/>
          <w:sz w:val="24"/>
          <w:szCs w:val="24"/>
        </w:rPr>
      </w:pPr>
      <w:r>
        <w:rPr>
          <w:rFonts w:hint="eastAsia" w:ascii="宋体" w:hAnsi="宋体" w:cs="宋体"/>
          <w:sz w:val="24"/>
          <w:szCs w:val="24"/>
        </w:rPr>
        <w:t>股东大会在审议为股东、实际控制人及其关联方提供担保的议案时，该股东或受该实际控制人支配的股东，不得参与该项表决，该项表决由出席股东大会的其他股东所持表决权的过半数通过。其中，股东大会审议本条第一款第（五）项担保事项涉及为股东、实际控制人及其关联方提供担保的，应经出席股东大会的其他股东所持表决权三分之二以上通过；审议本条第一款第（五）项以外的担保事项涉及为股东、实际控制人及其关联方提供担保的，应经出席股东大会的其他股东所持表决权过半数通过。</w:t>
      </w:r>
    </w:p>
    <w:p w14:paraId="7BA66A35">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第三十九条  </w:t>
      </w:r>
      <w:r>
        <w:rPr>
          <w:rFonts w:hint="eastAsia" w:ascii="宋体" w:hAnsi="宋体" w:cs="宋体"/>
          <w:sz w:val="24"/>
          <w:szCs w:val="24"/>
        </w:rPr>
        <w:t>股东大会分为年度股东大会和临时股东大会。股东年会每年召开一次，并应于上一会计年度结束后的</w:t>
      </w:r>
      <w:r>
        <w:rPr>
          <w:rFonts w:ascii="宋体" w:hAnsi="宋体" w:cs="宋体"/>
          <w:sz w:val="24"/>
          <w:szCs w:val="24"/>
        </w:rPr>
        <w:t>6</w:t>
      </w:r>
      <w:r>
        <w:rPr>
          <w:rFonts w:hint="eastAsia" w:ascii="宋体" w:hAnsi="宋体" w:cs="宋体"/>
          <w:sz w:val="24"/>
          <w:szCs w:val="24"/>
        </w:rPr>
        <w:t>个月内举行。</w:t>
      </w:r>
    </w:p>
    <w:p w14:paraId="10B369B2">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第四十条  </w:t>
      </w:r>
      <w:r>
        <w:rPr>
          <w:rFonts w:hint="eastAsia" w:ascii="宋体" w:hAnsi="宋体" w:cs="宋体"/>
          <w:sz w:val="24"/>
          <w:szCs w:val="24"/>
        </w:rPr>
        <w:t>有下列情形之一的，公司在事实发生之日起</w:t>
      </w:r>
      <w:r>
        <w:rPr>
          <w:rFonts w:ascii="宋体" w:hAnsi="宋体" w:cs="宋体"/>
          <w:sz w:val="24"/>
          <w:szCs w:val="24"/>
        </w:rPr>
        <w:t>2</w:t>
      </w:r>
      <w:r>
        <w:rPr>
          <w:rFonts w:hint="eastAsia" w:ascii="宋体" w:hAnsi="宋体" w:cs="宋体"/>
          <w:sz w:val="24"/>
          <w:szCs w:val="24"/>
        </w:rPr>
        <w:t>个月以内召开临时股东大会：</w:t>
      </w:r>
    </w:p>
    <w:p w14:paraId="2DC960A8">
      <w:pPr>
        <w:pStyle w:val="11"/>
        <w:spacing w:line="360" w:lineRule="auto"/>
        <w:rPr>
          <w:color w:val="auto"/>
        </w:rPr>
      </w:pPr>
      <w:r>
        <w:rPr>
          <w:rFonts w:hint="eastAsia"/>
          <w:color w:val="auto"/>
        </w:rPr>
        <w:t>（一）董事人数不足《公司法》规定人数或本章程所定人数的三分之二时；</w:t>
      </w:r>
    </w:p>
    <w:p w14:paraId="4EEA8B6B">
      <w:pPr>
        <w:spacing w:line="360" w:lineRule="auto"/>
        <w:ind w:firstLine="480" w:firstLineChars="200"/>
        <w:rPr>
          <w:rFonts w:ascii="宋体" w:cs="Times New Roman"/>
          <w:sz w:val="24"/>
          <w:szCs w:val="24"/>
        </w:rPr>
      </w:pPr>
      <w:r>
        <w:rPr>
          <w:rFonts w:hint="eastAsia" w:ascii="宋体" w:hAnsi="宋体" w:cs="宋体"/>
          <w:sz w:val="24"/>
          <w:szCs w:val="24"/>
        </w:rPr>
        <w:t>（二）公司未弥补亏损达到实收股本总额的三分之一时；</w:t>
      </w:r>
    </w:p>
    <w:p w14:paraId="52AE1161">
      <w:pPr>
        <w:pStyle w:val="11"/>
        <w:spacing w:line="360" w:lineRule="auto"/>
        <w:rPr>
          <w:color w:val="auto"/>
        </w:rPr>
      </w:pPr>
      <w:r>
        <w:rPr>
          <w:rFonts w:hint="eastAsia"/>
          <w:color w:val="auto"/>
        </w:rPr>
        <w:t>（三）单独或者合并持有公司</w:t>
      </w:r>
      <w:r>
        <w:rPr>
          <w:color w:val="auto"/>
        </w:rPr>
        <w:t>10%</w:t>
      </w:r>
      <w:r>
        <w:rPr>
          <w:rFonts w:hint="eastAsia"/>
          <w:color w:val="auto"/>
        </w:rPr>
        <w:t>以上股份的股东请求时；</w:t>
      </w:r>
    </w:p>
    <w:p w14:paraId="5E10DC1F">
      <w:pPr>
        <w:spacing w:line="360" w:lineRule="auto"/>
        <w:ind w:firstLine="480" w:firstLineChars="200"/>
        <w:rPr>
          <w:rFonts w:ascii="宋体" w:cs="Times New Roman"/>
          <w:sz w:val="24"/>
          <w:szCs w:val="24"/>
        </w:rPr>
      </w:pPr>
      <w:r>
        <w:rPr>
          <w:rFonts w:hint="eastAsia" w:ascii="宋体" w:hAnsi="宋体" w:cs="宋体"/>
          <w:sz w:val="24"/>
          <w:szCs w:val="24"/>
        </w:rPr>
        <w:t>（四）董事会认为必要时；</w:t>
      </w:r>
    </w:p>
    <w:p w14:paraId="556000F7">
      <w:pPr>
        <w:numPr>
          <w:ilvl w:val="0"/>
          <w:numId w:val="1"/>
        </w:numPr>
        <w:spacing w:line="360" w:lineRule="auto"/>
        <w:rPr>
          <w:rFonts w:ascii="宋体" w:cs="Times New Roman"/>
          <w:sz w:val="24"/>
          <w:szCs w:val="24"/>
        </w:rPr>
      </w:pPr>
      <w:r>
        <w:rPr>
          <w:rFonts w:hint="eastAsia" w:ascii="宋体" w:hAnsi="宋体" w:cs="宋体"/>
          <w:sz w:val="24"/>
          <w:szCs w:val="24"/>
        </w:rPr>
        <w:t>监事会提议召开时；</w:t>
      </w:r>
    </w:p>
    <w:p w14:paraId="375DB1BE">
      <w:pPr>
        <w:numPr>
          <w:ilvl w:val="0"/>
          <w:numId w:val="1"/>
        </w:numPr>
        <w:spacing w:line="360" w:lineRule="auto"/>
        <w:rPr>
          <w:rFonts w:ascii="宋体" w:cs="Times New Roman"/>
          <w:sz w:val="24"/>
          <w:szCs w:val="24"/>
        </w:rPr>
      </w:pPr>
      <w:r>
        <w:rPr>
          <w:rFonts w:hint="eastAsia" w:ascii="宋体" w:hAnsi="宋体" w:cs="宋体"/>
          <w:sz w:val="24"/>
          <w:szCs w:val="24"/>
        </w:rPr>
        <w:t>法律、行政法规、部门规章或本章程规定的其他情形。</w:t>
      </w:r>
    </w:p>
    <w:p w14:paraId="1C1C2ADC">
      <w:pPr>
        <w:spacing w:line="360" w:lineRule="auto"/>
        <w:ind w:firstLine="482" w:firstLineChars="200"/>
        <w:rPr>
          <w:rFonts w:ascii="宋体" w:cs="Times New Roman"/>
          <w:sz w:val="24"/>
          <w:szCs w:val="24"/>
        </w:rPr>
      </w:pPr>
      <w:r>
        <w:rPr>
          <w:rFonts w:hint="eastAsia" w:ascii="宋体" w:hAnsi="宋体" w:cs="宋体"/>
          <w:b/>
          <w:bCs/>
          <w:sz w:val="24"/>
          <w:szCs w:val="24"/>
        </w:rPr>
        <w:t>第四十一条</w:t>
      </w:r>
      <w:bookmarkStart w:id="50" w:name="_Toc262635795"/>
      <w:bookmarkStart w:id="51" w:name="_Toc314734394"/>
      <w:bookmarkStart w:id="52" w:name="_Toc287717017"/>
      <w:bookmarkStart w:id="53" w:name="_Toc215991589"/>
      <w:r>
        <w:rPr>
          <w:rFonts w:hint="eastAsia" w:ascii="宋体" w:hAnsi="宋体" w:cs="宋体"/>
          <w:b/>
          <w:bCs/>
          <w:sz w:val="24"/>
          <w:szCs w:val="24"/>
        </w:rPr>
        <w:t xml:space="preserve">  </w:t>
      </w:r>
      <w:r>
        <w:rPr>
          <w:rFonts w:hint="eastAsia" w:ascii="宋体" w:hAnsi="宋体" w:cs="Arial"/>
          <w:sz w:val="24"/>
          <w:szCs w:val="24"/>
        </w:rPr>
        <w:t>股东大会可以制定股东大会议事规则，明确股东大会的议事方式和表决程序，以确保股东大会的工作效率和科学决策。股东大会议事规则规定股东大会的召开和表决程序。股东大会议事规则作为本章程的附件，由董事会拟定，股东大会批准。如股东大会议事规则与公司章程存在相互冲突之处，应以公司章程为准。</w:t>
      </w:r>
    </w:p>
    <w:p w14:paraId="2867614E">
      <w:pPr>
        <w:pStyle w:val="3"/>
        <w:rPr>
          <w:rFonts w:cs="宋体"/>
        </w:rPr>
      </w:pPr>
      <w:bookmarkStart w:id="54" w:name="_Toc425712705"/>
      <w:r>
        <w:rPr>
          <w:rFonts w:hint="eastAsia" w:cs="宋体"/>
        </w:rPr>
        <w:t>第三节  股东大会的召集</w:t>
      </w:r>
      <w:bookmarkEnd w:id="50"/>
      <w:bookmarkEnd w:id="51"/>
      <w:bookmarkEnd w:id="52"/>
      <w:bookmarkEnd w:id="53"/>
      <w:bookmarkEnd w:id="54"/>
    </w:p>
    <w:p w14:paraId="32826315">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第四十二条  </w:t>
      </w:r>
      <w:r>
        <w:rPr>
          <w:rFonts w:hint="eastAsia" w:ascii="宋体" w:hAnsi="宋体" w:cs="宋体"/>
          <w:sz w:val="24"/>
          <w:szCs w:val="24"/>
        </w:rPr>
        <w:t>监事会有权向董事会提议召开临时股东大会，并应当以书面形式向董事会提出。董事会应当根据法律、行政法规和本章程的规定，在收到提案后</w:t>
      </w:r>
      <w:r>
        <w:rPr>
          <w:rFonts w:ascii="宋体" w:hAnsi="宋体" w:cs="宋体"/>
          <w:sz w:val="24"/>
          <w:szCs w:val="24"/>
        </w:rPr>
        <w:t>10</w:t>
      </w:r>
      <w:r>
        <w:rPr>
          <w:rFonts w:hint="eastAsia" w:ascii="宋体" w:hAnsi="宋体" w:cs="宋体"/>
          <w:sz w:val="24"/>
          <w:szCs w:val="24"/>
        </w:rPr>
        <w:t>日内提出同意或不同意召开临时股东大会的书面反馈意见。</w:t>
      </w:r>
    </w:p>
    <w:p w14:paraId="0E2598FE">
      <w:pPr>
        <w:spacing w:line="360" w:lineRule="auto"/>
        <w:ind w:firstLine="480" w:firstLineChars="200"/>
        <w:rPr>
          <w:rFonts w:ascii="宋体" w:cs="Times New Roman"/>
          <w:sz w:val="24"/>
          <w:szCs w:val="24"/>
        </w:rPr>
      </w:pPr>
      <w:r>
        <w:rPr>
          <w:rFonts w:hint="eastAsia" w:ascii="宋体" w:hAnsi="宋体" w:cs="宋体"/>
          <w:sz w:val="24"/>
          <w:szCs w:val="24"/>
        </w:rPr>
        <w:t>董事会同意召开临时股东大会的，将在作出董事会决议后</w:t>
      </w:r>
      <w:r>
        <w:rPr>
          <w:rFonts w:ascii="宋体" w:hAnsi="宋体" w:cs="宋体"/>
          <w:sz w:val="24"/>
          <w:szCs w:val="24"/>
        </w:rPr>
        <w:t>5</w:t>
      </w:r>
      <w:r>
        <w:rPr>
          <w:rFonts w:hint="eastAsia" w:ascii="宋体" w:hAnsi="宋体" w:cs="宋体"/>
          <w:sz w:val="24"/>
          <w:szCs w:val="24"/>
        </w:rPr>
        <w:t>日内发出召开股东大会的通知，通知中对原提议的变更，应征得监事会的同意。</w:t>
      </w:r>
    </w:p>
    <w:p w14:paraId="7082A2EA">
      <w:pPr>
        <w:spacing w:line="360" w:lineRule="auto"/>
        <w:ind w:firstLine="480" w:firstLineChars="200"/>
        <w:rPr>
          <w:rFonts w:ascii="宋体" w:cs="Times New Roman"/>
          <w:sz w:val="24"/>
          <w:szCs w:val="24"/>
        </w:rPr>
      </w:pPr>
      <w:r>
        <w:rPr>
          <w:rFonts w:hint="eastAsia" w:ascii="宋体" w:hAnsi="宋体" w:cs="宋体"/>
          <w:sz w:val="24"/>
          <w:szCs w:val="24"/>
        </w:rPr>
        <w:t>董事会不同意召开临时股东大会，或者在收到提案后</w:t>
      </w:r>
      <w:r>
        <w:rPr>
          <w:rFonts w:ascii="宋体" w:hAnsi="宋体" w:cs="宋体"/>
          <w:sz w:val="24"/>
          <w:szCs w:val="24"/>
        </w:rPr>
        <w:t>10</w:t>
      </w:r>
      <w:r>
        <w:rPr>
          <w:rFonts w:hint="eastAsia" w:ascii="宋体" w:hAnsi="宋体" w:cs="宋体"/>
          <w:sz w:val="24"/>
          <w:szCs w:val="24"/>
        </w:rPr>
        <w:t>日内未作出反馈的，视为董事会不能履行或者不履行召集股东大会会议职责，监事会可以自行召集和主持。</w:t>
      </w:r>
    </w:p>
    <w:p w14:paraId="2E809F0F">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第四十三条  </w:t>
      </w:r>
      <w:r>
        <w:rPr>
          <w:rFonts w:hint="eastAsia" w:ascii="宋体" w:hAnsi="宋体" w:cs="宋体"/>
          <w:sz w:val="24"/>
          <w:szCs w:val="24"/>
        </w:rPr>
        <w:t>单独或者合计持有公司</w:t>
      </w:r>
      <w:r>
        <w:rPr>
          <w:rFonts w:ascii="宋体" w:hAnsi="宋体" w:cs="宋体"/>
          <w:sz w:val="24"/>
          <w:szCs w:val="24"/>
        </w:rPr>
        <w:t>10%</w:t>
      </w:r>
      <w:r>
        <w:rPr>
          <w:rFonts w:hint="eastAsia" w:ascii="宋体" w:hAnsi="宋体" w:cs="宋体"/>
          <w:sz w:val="24"/>
          <w:szCs w:val="24"/>
        </w:rPr>
        <w:t>以上股份的股东有权向董事会请求召开临时股东大会，并应当以书面形式向董事会提出。董事会应当根据法律、行政法规和本章程的规定，在收到请求后</w:t>
      </w:r>
      <w:r>
        <w:rPr>
          <w:rFonts w:ascii="宋体" w:hAnsi="宋体" w:cs="宋体"/>
          <w:sz w:val="24"/>
          <w:szCs w:val="24"/>
        </w:rPr>
        <w:t>10</w:t>
      </w:r>
      <w:r>
        <w:rPr>
          <w:rFonts w:hint="eastAsia" w:ascii="宋体" w:hAnsi="宋体" w:cs="宋体"/>
          <w:sz w:val="24"/>
          <w:szCs w:val="24"/>
        </w:rPr>
        <w:t>日内提出同意或不同意召开临时股东大会的书面反馈意见。</w:t>
      </w:r>
    </w:p>
    <w:p w14:paraId="1B128CCD">
      <w:pPr>
        <w:spacing w:line="360" w:lineRule="auto"/>
        <w:ind w:firstLine="480" w:firstLineChars="200"/>
        <w:rPr>
          <w:rFonts w:ascii="宋体" w:cs="Times New Roman"/>
          <w:sz w:val="24"/>
          <w:szCs w:val="24"/>
        </w:rPr>
      </w:pPr>
      <w:r>
        <w:rPr>
          <w:rFonts w:hint="eastAsia" w:ascii="宋体" w:hAnsi="宋体" w:cs="宋体"/>
          <w:sz w:val="24"/>
          <w:szCs w:val="24"/>
        </w:rPr>
        <w:t>董事会同意召开临时股东大会的，应当在作出董事会决议后的</w:t>
      </w:r>
      <w:r>
        <w:rPr>
          <w:rFonts w:ascii="宋体" w:hAnsi="宋体" w:cs="宋体"/>
          <w:sz w:val="24"/>
          <w:szCs w:val="24"/>
        </w:rPr>
        <w:t>5</w:t>
      </w:r>
      <w:r>
        <w:rPr>
          <w:rFonts w:hint="eastAsia" w:ascii="宋体" w:hAnsi="宋体" w:cs="宋体"/>
          <w:sz w:val="24"/>
          <w:szCs w:val="24"/>
        </w:rPr>
        <w:t>日内发出召开股东大会的通知，通知中对原请求的变更，应当征得相关股东的同意。</w:t>
      </w:r>
    </w:p>
    <w:p w14:paraId="125EF860">
      <w:pPr>
        <w:spacing w:line="360" w:lineRule="auto"/>
        <w:ind w:firstLine="480" w:firstLineChars="200"/>
        <w:rPr>
          <w:rFonts w:ascii="宋体" w:cs="Times New Roman"/>
          <w:sz w:val="24"/>
          <w:szCs w:val="24"/>
        </w:rPr>
      </w:pPr>
      <w:r>
        <w:rPr>
          <w:rFonts w:hint="eastAsia" w:ascii="宋体" w:hAnsi="宋体" w:cs="宋体"/>
          <w:sz w:val="24"/>
          <w:szCs w:val="24"/>
        </w:rPr>
        <w:t>董事会不同意召开临时股东大会，或者在收到请求后</w:t>
      </w:r>
      <w:r>
        <w:rPr>
          <w:rFonts w:ascii="宋体" w:hAnsi="宋体" w:cs="宋体"/>
          <w:sz w:val="24"/>
          <w:szCs w:val="24"/>
        </w:rPr>
        <w:t>10</w:t>
      </w:r>
      <w:r>
        <w:rPr>
          <w:rFonts w:hint="eastAsia" w:ascii="宋体" w:hAnsi="宋体" w:cs="宋体"/>
          <w:sz w:val="24"/>
          <w:szCs w:val="24"/>
        </w:rPr>
        <w:t>日内未作出反馈的，单独或者合计持有公司</w:t>
      </w:r>
      <w:r>
        <w:rPr>
          <w:rFonts w:ascii="宋体" w:hAnsi="宋体" w:cs="宋体"/>
          <w:sz w:val="24"/>
          <w:szCs w:val="24"/>
        </w:rPr>
        <w:t>10%</w:t>
      </w:r>
      <w:r>
        <w:rPr>
          <w:rFonts w:hint="eastAsia" w:ascii="宋体" w:hAnsi="宋体" w:cs="宋体"/>
          <w:sz w:val="24"/>
          <w:szCs w:val="24"/>
        </w:rPr>
        <w:t>以上股份的股东有权向监事会提议召开临时股东大会，并应当以书面形式向监事会提出请求。</w:t>
      </w:r>
    </w:p>
    <w:p w14:paraId="4DF87576">
      <w:pPr>
        <w:spacing w:line="360" w:lineRule="auto"/>
        <w:ind w:firstLine="480" w:firstLineChars="200"/>
        <w:rPr>
          <w:rFonts w:ascii="宋体" w:cs="Times New Roman"/>
          <w:sz w:val="24"/>
          <w:szCs w:val="24"/>
        </w:rPr>
      </w:pPr>
      <w:r>
        <w:rPr>
          <w:rFonts w:hint="eastAsia" w:ascii="宋体" w:hAnsi="宋体" w:cs="宋体"/>
          <w:sz w:val="24"/>
          <w:szCs w:val="24"/>
        </w:rPr>
        <w:t>监事会同意召开临时股东大会的，应在收到请求</w:t>
      </w:r>
      <w:r>
        <w:rPr>
          <w:rFonts w:ascii="宋体" w:hAnsi="宋体" w:cs="宋体"/>
          <w:sz w:val="24"/>
          <w:szCs w:val="24"/>
        </w:rPr>
        <w:t>5</w:t>
      </w:r>
      <w:r>
        <w:rPr>
          <w:rFonts w:hint="eastAsia" w:ascii="宋体" w:hAnsi="宋体" w:cs="宋体"/>
          <w:sz w:val="24"/>
          <w:szCs w:val="24"/>
        </w:rPr>
        <w:t>日内发出召开股东大会的通知，通知中对原提案的变更，应当征得相关股东的同意。</w:t>
      </w:r>
    </w:p>
    <w:p w14:paraId="3C32FB98">
      <w:pPr>
        <w:spacing w:line="360" w:lineRule="auto"/>
        <w:ind w:firstLine="480" w:firstLineChars="200"/>
        <w:rPr>
          <w:rFonts w:ascii="宋体" w:cs="Times New Roman"/>
          <w:sz w:val="24"/>
          <w:szCs w:val="24"/>
        </w:rPr>
      </w:pPr>
      <w:r>
        <w:rPr>
          <w:rFonts w:hint="eastAsia" w:ascii="宋体" w:hAnsi="宋体" w:cs="宋体"/>
          <w:sz w:val="24"/>
          <w:szCs w:val="24"/>
        </w:rPr>
        <w:t>监事会未在规定期限内发出股东大会通知的，视为监事会不召集和主持股东大会，连续</w:t>
      </w:r>
      <w:r>
        <w:rPr>
          <w:rFonts w:ascii="宋体" w:hAnsi="宋体" w:cs="宋体"/>
          <w:sz w:val="24"/>
          <w:szCs w:val="24"/>
        </w:rPr>
        <w:t>90</w:t>
      </w:r>
      <w:r>
        <w:rPr>
          <w:rFonts w:hint="eastAsia" w:ascii="宋体" w:hAnsi="宋体" w:cs="宋体"/>
          <w:sz w:val="24"/>
          <w:szCs w:val="24"/>
        </w:rPr>
        <w:t>日以上单独或者合计持有公司</w:t>
      </w:r>
      <w:r>
        <w:rPr>
          <w:rFonts w:ascii="宋体" w:hAnsi="宋体" w:cs="宋体"/>
          <w:sz w:val="24"/>
          <w:szCs w:val="24"/>
        </w:rPr>
        <w:t>10%</w:t>
      </w:r>
      <w:r>
        <w:rPr>
          <w:rFonts w:hint="eastAsia" w:ascii="宋体" w:hAnsi="宋体" w:cs="宋体"/>
          <w:sz w:val="24"/>
          <w:szCs w:val="24"/>
        </w:rPr>
        <w:t>以上股份的股东可以自行召集和主持。</w:t>
      </w:r>
    </w:p>
    <w:p w14:paraId="68B3BAC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第四十四条  </w:t>
      </w:r>
      <w:r>
        <w:rPr>
          <w:rFonts w:hint="eastAsia" w:ascii="宋体" w:hAnsi="宋体" w:cs="宋体"/>
          <w:sz w:val="24"/>
          <w:szCs w:val="24"/>
        </w:rPr>
        <w:t>监事会或股东决定自行召集股东大会的，须书面通知董事会。</w:t>
      </w:r>
    </w:p>
    <w:p w14:paraId="6DF04934">
      <w:pPr>
        <w:spacing w:line="360" w:lineRule="auto"/>
        <w:ind w:firstLine="480" w:firstLineChars="200"/>
        <w:rPr>
          <w:rFonts w:ascii="宋体" w:cs="Times New Roman"/>
          <w:sz w:val="24"/>
          <w:szCs w:val="24"/>
        </w:rPr>
      </w:pPr>
      <w:r>
        <w:rPr>
          <w:rFonts w:hint="eastAsia" w:ascii="宋体" w:hAnsi="宋体" w:cs="宋体"/>
          <w:sz w:val="24"/>
          <w:szCs w:val="24"/>
        </w:rPr>
        <w:t>在股东大会决议作出前，召集股东持股比例不得低于</w:t>
      </w:r>
      <w:r>
        <w:rPr>
          <w:rFonts w:ascii="宋体" w:hAnsi="宋体" w:cs="宋体"/>
          <w:sz w:val="24"/>
          <w:szCs w:val="24"/>
        </w:rPr>
        <w:t>10%</w:t>
      </w:r>
      <w:r>
        <w:rPr>
          <w:rFonts w:hint="eastAsia" w:ascii="宋体" w:hAnsi="宋体" w:cs="宋体"/>
          <w:sz w:val="24"/>
          <w:szCs w:val="24"/>
        </w:rPr>
        <w:t>。</w:t>
      </w:r>
    </w:p>
    <w:p w14:paraId="0CE5434C">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第四十五条  </w:t>
      </w:r>
      <w:r>
        <w:rPr>
          <w:rFonts w:hint="eastAsia" w:ascii="宋体" w:hAnsi="宋体" w:cs="宋体"/>
          <w:sz w:val="24"/>
          <w:szCs w:val="24"/>
        </w:rPr>
        <w:t>对于监事会或股东自行召集的股东大会，董事会和董事会秘书将予配合。董事会应当提供股东名册。</w:t>
      </w:r>
    </w:p>
    <w:p w14:paraId="407D7476">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第四十六条  </w:t>
      </w:r>
      <w:r>
        <w:rPr>
          <w:rFonts w:hint="eastAsia" w:ascii="宋体" w:hAnsi="宋体" w:cs="宋体"/>
          <w:sz w:val="24"/>
          <w:szCs w:val="24"/>
        </w:rPr>
        <w:t>监事会或股东自行召集的股东大会，会议所必需的费用由本公司承担。</w:t>
      </w:r>
    </w:p>
    <w:p w14:paraId="786C308A">
      <w:pPr>
        <w:pStyle w:val="3"/>
        <w:rPr>
          <w:rFonts w:cs="宋体"/>
        </w:rPr>
      </w:pPr>
      <w:bookmarkStart w:id="55" w:name="_Toc287717018"/>
      <w:bookmarkStart w:id="56" w:name="_Toc425712706"/>
      <w:bookmarkStart w:id="57" w:name="_Toc262635796"/>
      <w:bookmarkStart w:id="58" w:name="_Toc314734395"/>
      <w:bookmarkStart w:id="59" w:name="_Toc215991590"/>
      <w:r>
        <w:rPr>
          <w:rFonts w:hint="eastAsia" w:cs="宋体"/>
        </w:rPr>
        <w:t>第四节  股东大会的提案与通知</w:t>
      </w:r>
      <w:bookmarkEnd w:id="55"/>
      <w:bookmarkEnd w:id="56"/>
      <w:bookmarkEnd w:id="57"/>
      <w:bookmarkEnd w:id="58"/>
      <w:bookmarkEnd w:id="59"/>
    </w:p>
    <w:p w14:paraId="78C74DE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第四十七条  </w:t>
      </w:r>
      <w:r>
        <w:rPr>
          <w:rFonts w:hint="eastAsia" w:ascii="宋体" w:hAnsi="宋体" w:cs="宋体"/>
          <w:sz w:val="24"/>
          <w:szCs w:val="24"/>
        </w:rPr>
        <w:t>提案的内容应当属于股东大会职权范围，有明确议题和具体决议事项，并且符合法律、行政法规和本章程的有关规定。</w:t>
      </w:r>
    </w:p>
    <w:p w14:paraId="40F78AF9">
      <w:pPr>
        <w:pStyle w:val="18"/>
        <w:spacing w:line="360" w:lineRule="auto"/>
        <w:ind w:firstLine="482" w:firstLineChars="200"/>
      </w:pPr>
      <w:r>
        <w:rPr>
          <w:rFonts w:hint="eastAsia"/>
          <w:b/>
          <w:bCs/>
        </w:rPr>
        <w:t>第四十八条</w:t>
      </w:r>
      <w:r>
        <w:rPr>
          <w:rFonts w:hint="eastAsia"/>
        </w:rPr>
        <w:t xml:space="preserve">  公司召开股东大会，董事会、监事会以及单独或者合并持有公司</w:t>
      </w:r>
      <w:r>
        <w:t>3%</w:t>
      </w:r>
      <w:r>
        <w:rPr>
          <w:rFonts w:hint="eastAsia"/>
        </w:rPr>
        <w:t>以上股份的股东有权向公司提出提案。（法律另有规定的从其规定）</w:t>
      </w:r>
    </w:p>
    <w:p w14:paraId="4C93ECBB">
      <w:pPr>
        <w:pStyle w:val="18"/>
        <w:spacing w:line="360" w:lineRule="auto"/>
        <w:ind w:firstLine="480" w:firstLineChars="200"/>
      </w:pPr>
      <w:r>
        <w:rPr>
          <w:rFonts w:hint="eastAsia"/>
        </w:rPr>
        <w:t>单独或者合计持有公司</w:t>
      </w:r>
      <w:r>
        <w:t>3%</w:t>
      </w:r>
      <w:r>
        <w:rPr>
          <w:rFonts w:hint="eastAsia"/>
        </w:rPr>
        <w:t>以上股份的股东，可以在股东大会召开</w:t>
      </w:r>
      <w:r>
        <w:t>10</w:t>
      </w:r>
      <w:r>
        <w:rPr>
          <w:rFonts w:hint="eastAsia"/>
        </w:rPr>
        <w:t>日前提出临时提案并书面提交召集人。召集人应当在收到提案后</w:t>
      </w:r>
      <w:r>
        <w:t>2</w:t>
      </w:r>
      <w:r>
        <w:rPr>
          <w:rFonts w:hint="eastAsia"/>
        </w:rPr>
        <w:t>日内发出股东大会补充通知。（法律另有规定的从其规定）</w:t>
      </w:r>
    </w:p>
    <w:p w14:paraId="6F2AECA0">
      <w:pPr>
        <w:pStyle w:val="18"/>
        <w:spacing w:line="360" w:lineRule="auto"/>
        <w:ind w:firstLine="480" w:firstLineChars="200"/>
      </w:pPr>
      <w:r>
        <w:rPr>
          <w:rFonts w:hint="eastAsia"/>
        </w:rPr>
        <w:t>除前款规定的情形外，召集人在发出股东大会通知后，不得修改股东大会通知中已列明的提案或增加新提案。</w:t>
      </w:r>
    </w:p>
    <w:p w14:paraId="79282F71">
      <w:pPr>
        <w:pStyle w:val="18"/>
        <w:spacing w:line="360" w:lineRule="auto"/>
        <w:ind w:firstLine="480" w:firstLineChars="200"/>
      </w:pPr>
      <w:r>
        <w:rPr>
          <w:rFonts w:hint="eastAsia"/>
        </w:rPr>
        <w:t>股东大会通知中未列明或不符合本章程第四十六条规定的提案，股东大会不得进行表决并作出决议。</w:t>
      </w:r>
    </w:p>
    <w:p w14:paraId="24F7C105">
      <w:pPr>
        <w:spacing w:line="360" w:lineRule="auto"/>
        <w:ind w:firstLine="482" w:firstLineChars="200"/>
        <w:rPr>
          <w:rFonts w:cs="宋体"/>
          <w:sz w:val="24"/>
          <w:szCs w:val="24"/>
        </w:rPr>
      </w:pPr>
      <w:r>
        <w:rPr>
          <w:rFonts w:hint="eastAsia" w:cs="宋体"/>
          <w:b/>
          <w:bCs/>
          <w:sz w:val="24"/>
          <w:szCs w:val="24"/>
        </w:rPr>
        <w:t xml:space="preserve">第四十九条  </w:t>
      </w:r>
      <w:r>
        <w:rPr>
          <w:rFonts w:hint="eastAsia" w:cs="宋体"/>
          <w:sz w:val="24"/>
          <w:szCs w:val="24"/>
        </w:rPr>
        <w:t>召集人将在年度股东大会召开</w:t>
      </w:r>
      <w:r>
        <w:rPr>
          <w:rFonts w:asciiTheme="minorEastAsia" w:hAnsiTheme="minorEastAsia" w:eastAsiaTheme="minorEastAsia"/>
          <w:sz w:val="24"/>
          <w:szCs w:val="24"/>
        </w:rPr>
        <w:t>20</w:t>
      </w:r>
      <w:r>
        <w:rPr>
          <w:rFonts w:hint="eastAsia" w:cs="宋体" w:asciiTheme="minorEastAsia" w:hAnsiTheme="minorEastAsia" w:eastAsiaTheme="minorEastAsia"/>
          <w:sz w:val="24"/>
          <w:szCs w:val="24"/>
        </w:rPr>
        <w:t>日</w:t>
      </w:r>
      <w:r>
        <w:rPr>
          <w:rFonts w:hint="eastAsia" w:cs="宋体"/>
          <w:sz w:val="24"/>
          <w:szCs w:val="24"/>
        </w:rPr>
        <w:t>前通知各股东，临时股东大会将于会议</w:t>
      </w:r>
      <w:r>
        <w:rPr>
          <w:rFonts w:hint="eastAsia" w:cs="宋体" w:asciiTheme="minorEastAsia" w:hAnsiTheme="minorEastAsia" w:eastAsiaTheme="minorEastAsia"/>
          <w:sz w:val="24"/>
          <w:szCs w:val="24"/>
        </w:rPr>
        <w:t>召开</w:t>
      </w:r>
      <w:r>
        <w:rPr>
          <w:rFonts w:asciiTheme="minorEastAsia" w:hAnsiTheme="minorEastAsia" w:eastAsiaTheme="minorEastAsia"/>
          <w:sz w:val="24"/>
          <w:szCs w:val="24"/>
        </w:rPr>
        <w:t>15</w:t>
      </w:r>
      <w:r>
        <w:rPr>
          <w:rFonts w:hint="eastAsia" w:cs="宋体" w:asciiTheme="minorEastAsia" w:hAnsiTheme="minorEastAsia" w:eastAsiaTheme="minorEastAsia"/>
          <w:sz w:val="24"/>
          <w:szCs w:val="24"/>
        </w:rPr>
        <w:t>日</w:t>
      </w:r>
      <w:r>
        <w:rPr>
          <w:rFonts w:hint="eastAsia" w:cs="宋体"/>
          <w:sz w:val="24"/>
          <w:szCs w:val="24"/>
        </w:rPr>
        <w:t>前通知各股东。</w:t>
      </w:r>
    </w:p>
    <w:p w14:paraId="39529505">
      <w:pPr>
        <w:spacing w:line="360" w:lineRule="auto"/>
        <w:ind w:firstLine="480" w:firstLineChars="200"/>
        <w:rPr>
          <w:rFonts w:ascii="宋体" w:cs="Times New Roman"/>
          <w:sz w:val="24"/>
          <w:szCs w:val="24"/>
        </w:rPr>
      </w:pPr>
      <w:r>
        <w:rPr>
          <w:rFonts w:hint="eastAsia" w:ascii="宋体" w:hAnsi="宋体" w:cs="Arial"/>
          <w:sz w:val="24"/>
          <w:szCs w:val="24"/>
        </w:rPr>
        <w:t>公司在计算起始期限时，不应当包括会议召开当日，但包括通知发出当日。</w:t>
      </w:r>
    </w:p>
    <w:p w14:paraId="349D2BC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第五十条  </w:t>
      </w:r>
      <w:r>
        <w:rPr>
          <w:rFonts w:hint="eastAsia" w:ascii="宋体" w:hAnsi="宋体" w:cs="宋体"/>
          <w:sz w:val="24"/>
          <w:szCs w:val="24"/>
        </w:rPr>
        <w:t>股东大会的通知包括以下内容：</w:t>
      </w:r>
    </w:p>
    <w:p w14:paraId="575880D0">
      <w:pPr>
        <w:spacing w:line="360" w:lineRule="auto"/>
        <w:ind w:firstLine="480" w:firstLineChars="200"/>
        <w:rPr>
          <w:rFonts w:ascii="宋体" w:cs="Times New Roman"/>
          <w:sz w:val="24"/>
          <w:szCs w:val="24"/>
        </w:rPr>
      </w:pPr>
      <w:r>
        <w:rPr>
          <w:rFonts w:hint="eastAsia" w:ascii="宋体" w:hAnsi="宋体" w:cs="宋体"/>
          <w:sz w:val="24"/>
          <w:szCs w:val="24"/>
        </w:rPr>
        <w:t>（一）会议的时间、地点、方式、会议召集人和会议期限；</w:t>
      </w:r>
    </w:p>
    <w:p w14:paraId="3882F81E">
      <w:pPr>
        <w:spacing w:line="360" w:lineRule="auto"/>
        <w:ind w:firstLine="480" w:firstLineChars="200"/>
        <w:rPr>
          <w:rFonts w:ascii="宋体" w:cs="Times New Roman"/>
          <w:sz w:val="24"/>
          <w:szCs w:val="24"/>
        </w:rPr>
      </w:pPr>
      <w:r>
        <w:rPr>
          <w:rFonts w:hint="eastAsia" w:ascii="宋体" w:hAnsi="宋体" w:cs="宋体"/>
          <w:sz w:val="24"/>
          <w:szCs w:val="24"/>
        </w:rPr>
        <w:t>（二）提交会议审议的事项和提案；</w:t>
      </w:r>
    </w:p>
    <w:p w14:paraId="2B4C0DF2">
      <w:pPr>
        <w:spacing w:line="360" w:lineRule="auto"/>
        <w:ind w:firstLine="480" w:firstLineChars="200"/>
        <w:rPr>
          <w:rFonts w:ascii="宋体" w:cs="宋体"/>
          <w:sz w:val="24"/>
          <w:szCs w:val="24"/>
        </w:rPr>
      </w:pPr>
      <w:r>
        <w:rPr>
          <w:rFonts w:hint="eastAsia" w:ascii="宋体" w:hAnsi="宋体" w:cs="宋体"/>
          <w:sz w:val="24"/>
          <w:szCs w:val="24"/>
        </w:rPr>
        <w:t>（三）以明显的文字说明：全体股东均有权出席股东大会，并可以书面委托代理人出席会议和参加表决，该股东代理人不必是公司的股东；</w:t>
      </w:r>
      <w:r>
        <w:rPr>
          <w:rFonts w:ascii="宋体" w:cs="宋体"/>
          <w:sz w:val="24"/>
          <w:szCs w:val="24"/>
        </w:rPr>
        <w:tab/>
      </w:r>
    </w:p>
    <w:p w14:paraId="4E391789">
      <w:pPr>
        <w:spacing w:line="360" w:lineRule="auto"/>
        <w:ind w:firstLine="480" w:firstLineChars="200"/>
        <w:rPr>
          <w:rFonts w:ascii="宋体" w:cs="宋体"/>
          <w:sz w:val="24"/>
          <w:szCs w:val="24"/>
        </w:rPr>
      </w:pPr>
      <w:r>
        <w:rPr>
          <w:rFonts w:hint="eastAsia" w:ascii="宋体" w:hAnsi="宋体" w:cs="宋体"/>
          <w:sz w:val="24"/>
          <w:szCs w:val="24"/>
        </w:rPr>
        <w:t>（四）会务常设联系人姓名、电话号码。</w:t>
      </w:r>
    </w:p>
    <w:p w14:paraId="42645955">
      <w:pPr>
        <w:spacing w:line="360" w:lineRule="auto"/>
        <w:ind w:firstLine="480" w:firstLineChars="200"/>
        <w:rPr>
          <w:rFonts w:ascii="宋体"/>
          <w:sz w:val="24"/>
          <w:szCs w:val="24"/>
        </w:rPr>
      </w:pPr>
      <w:r>
        <w:rPr>
          <w:rFonts w:hint="eastAsia" w:ascii="宋体" w:hAnsi="宋体"/>
          <w:sz w:val="24"/>
          <w:szCs w:val="24"/>
        </w:rPr>
        <w:t>股东大会通知和补充通知中应当充分、完整披露所有提案的全部具体内容。</w:t>
      </w:r>
    </w:p>
    <w:p w14:paraId="21D0B281">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第五十一条  </w:t>
      </w:r>
      <w:r>
        <w:rPr>
          <w:rFonts w:hint="eastAsia" w:ascii="宋体" w:hAnsi="宋体" w:cs="宋体"/>
          <w:bCs/>
          <w:sz w:val="24"/>
          <w:szCs w:val="24"/>
        </w:rPr>
        <w:t>股东大会采用通讯或其他方式的，应当在股东大会通知中明确载明通讯或其他方式的表决时间及表决程序。</w:t>
      </w:r>
      <w:r>
        <w:rPr>
          <w:rFonts w:hint="eastAsia" w:ascii="宋体" w:hAnsi="宋体" w:cs="宋体"/>
          <w:sz w:val="24"/>
          <w:szCs w:val="24"/>
        </w:rPr>
        <w:t>股东大会拟讨论董事、监事选举事项的，股东大会通知中将充分披露董事、监事候选人的详细资料，至少包括以下内容：</w:t>
      </w:r>
    </w:p>
    <w:p w14:paraId="73CD6F03">
      <w:pPr>
        <w:spacing w:line="360" w:lineRule="auto"/>
        <w:ind w:firstLine="480" w:firstLineChars="200"/>
        <w:rPr>
          <w:rFonts w:ascii="宋体" w:cs="Times New Roman"/>
          <w:sz w:val="24"/>
          <w:szCs w:val="24"/>
        </w:rPr>
      </w:pPr>
      <w:r>
        <w:rPr>
          <w:rFonts w:hint="eastAsia" w:ascii="宋体" w:hAnsi="宋体" w:cs="宋体"/>
          <w:sz w:val="24"/>
          <w:szCs w:val="24"/>
        </w:rPr>
        <w:t>（一）教育背景、工作经历、兼职等个人情况；</w:t>
      </w:r>
    </w:p>
    <w:p w14:paraId="7CDDEBD6">
      <w:pPr>
        <w:spacing w:line="360" w:lineRule="auto"/>
        <w:ind w:firstLine="480" w:firstLineChars="200"/>
        <w:rPr>
          <w:rFonts w:ascii="宋体" w:cs="Times New Roman"/>
          <w:sz w:val="24"/>
          <w:szCs w:val="24"/>
        </w:rPr>
      </w:pPr>
      <w:r>
        <w:rPr>
          <w:rFonts w:hint="eastAsia" w:ascii="宋体" w:hAnsi="宋体" w:cs="宋体"/>
          <w:sz w:val="24"/>
          <w:szCs w:val="24"/>
        </w:rPr>
        <w:t>（二）与本公司或本公司的控股股东及实际控制人是否存在关联关系；</w:t>
      </w:r>
    </w:p>
    <w:p w14:paraId="46856AC5">
      <w:pPr>
        <w:spacing w:line="360" w:lineRule="auto"/>
        <w:ind w:firstLine="480" w:firstLineChars="200"/>
        <w:rPr>
          <w:rFonts w:ascii="宋体" w:cs="Times New Roman"/>
          <w:sz w:val="24"/>
          <w:szCs w:val="24"/>
        </w:rPr>
      </w:pPr>
      <w:r>
        <w:rPr>
          <w:rFonts w:hint="eastAsia" w:ascii="宋体" w:hAnsi="宋体" w:cs="宋体"/>
          <w:sz w:val="24"/>
          <w:szCs w:val="24"/>
        </w:rPr>
        <w:t>（三）披露持有本公司股份数量；</w:t>
      </w:r>
    </w:p>
    <w:p w14:paraId="4F9BC9CC">
      <w:pPr>
        <w:spacing w:line="360" w:lineRule="auto"/>
        <w:ind w:firstLine="480" w:firstLineChars="200"/>
        <w:rPr>
          <w:rFonts w:ascii="宋体" w:cs="Times New Roman"/>
          <w:sz w:val="24"/>
          <w:szCs w:val="24"/>
        </w:rPr>
      </w:pPr>
      <w:r>
        <w:rPr>
          <w:rFonts w:hint="eastAsia" w:ascii="宋体" w:hAnsi="宋体" w:cs="宋体"/>
          <w:sz w:val="24"/>
          <w:szCs w:val="24"/>
        </w:rPr>
        <w:t>（四）是否受过中国证监会及其他有关部门的处罚和证券交易所惩戒。</w:t>
      </w:r>
    </w:p>
    <w:p w14:paraId="73BE5809">
      <w:pPr>
        <w:spacing w:line="360" w:lineRule="auto"/>
        <w:ind w:firstLine="480" w:firstLineChars="200"/>
        <w:rPr>
          <w:rFonts w:cs="Times New Roman"/>
          <w:sz w:val="24"/>
          <w:szCs w:val="24"/>
        </w:rPr>
      </w:pPr>
      <w:r>
        <w:rPr>
          <w:rFonts w:hint="eastAsia" w:cs="宋体"/>
          <w:sz w:val="24"/>
          <w:szCs w:val="24"/>
        </w:rPr>
        <w:t>除采取累积投票制选举董事、监事外，每位董事、监事候选人应当以单项提案提出。</w:t>
      </w:r>
    </w:p>
    <w:p w14:paraId="4FA6219A">
      <w:pPr>
        <w:spacing w:line="360" w:lineRule="auto"/>
        <w:ind w:firstLine="482" w:firstLineChars="200"/>
        <w:rPr>
          <w:rFonts w:ascii="宋体" w:hAnsi="宋体" w:cs="宋体"/>
          <w:sz w:val="24"/>
          <w:szCs w:val="24"/>
        </w:rPr>
      </w:pPr>
      <w:r>
        <w:rPr>
          <w:rFonts w:hint="eastAsia" w:ascii="宋体" w:hAnsi="宋体" w:cs="宋体"/>
          <w:b/>
          <w:bCs/>
          <w:sz w:val="24"/>
          <w:szCs w:val="24"/>
        </w:rPr>
        <w:t xml:space="preserve">第五十二条  </w:t>
      </w:r>
      <w:r>
        <w:rPr>
          <w:rFonts w:hint="eastAsia" w:ascii="宋体" w:hAnsi="宋体" w:cs="宋体"/>
          <w:sz w:val="24"/>
          <w:szCs w:val="24"/>
        </w:rPr>
        <w:t>发出股东大会通知后，无正当理由，股东大会不应延期或取消，股东大会通知中列明的提案不应取消。一旦出现延期或取消的情形，召集人应当在原定召开日前至少</w:t>
      </w:r>
      <w:r>
        <w:rPr>
          <w:rFonts w:ascii="宋体" w:hAnsi="宋体" w:cs="宋体"/>
          <w:sz w:val="24"/>
          <w:szCs w:val="24"/>
        </w:rPr>
        <w:t>2</w:t>
      </w:r>
      <w:r>
        <w:rPr>
          <w:rFonts w:hint="eastAsia" w:ascii="宋体" w:hAnsi="宋体" w:cs="宋体"/>
          <w:sz w:val="24"/>
          <w:szCs w:val="24"/>
        </w:rPr>
        <w:t>个工作日通知全体股东并说明原因。</w:t>
      </w:r>
    </w:p>
    <w:p w14:paraId="4F71DCFC">
      <w:pPr>
        <w:pStyle w:val="3"/>
        <w:rPr>
          <w:rFonts w:cs="宋体"/>
        </w:rPr>
      </w:pPr>
      <w:bookmarkStart w:id="60" w:name="_Toc314734396"/>
      <w:bookmarkStart w:id="61" w:name="_Toc287717019"/>
      <w:bookmarkStart w:id="62" w:name="_Toc262635797"/>
      <w:bookmarkStart w:id="63" w:name="_Toc425712707"/>
      <w:bookmarkStart w:id="64" w:name="_Toc215991591"/>
      <w:r>
        <w:rPr>
          <w:rFonts w:hint="eastAsia" w:cs="宋体"/>
        </w:rPr>
        <w:t>第五节  股东大会的召开</w:t>
      </w:r>
      <w:bookmarkEnd w:id="60"/>
      <w:bookmarkEnd w:id="61"/>
      <w:bookmarkEnd w:id="62"/>
      <w:bookmarkEnd w:id="63"/>
      <w:bookmarkEnd w:id="64"/>
    </w:p>
    <w:p w14:paraId="04A9A0AB">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第五十三条  </w:t>
      </w:r>
      <w:r>
        <w:rPr>
          <w:rFonts w:hint="eastAsia" w:ascii="宋体" w:hAnsi="宋体" w:cs="宋体"/>
          <w:sz w:val="24"/>
          <w:szCs w:val="24"/>
        </w:rPr>
        <w:t>本公司董事会和其他召集人将采取必要措施，保证股东大会的正常秩序。对于干扰股东大会、寻衅滋事和侵犯股东合法权益的行为，将采取措施加以制止并及时报告有关部门查处。</w:t>
      </w:r>
    </w:p>
    <w:p w14:paraId="5DA14DA1">
      <w:pPr>
        <w:spacing w:line="360" w:lineRule="auto"/>
        <w:ind w:firstLine="482" w:firstLineChars="200"/>
        <w:rPr>
          <w:rFonts w:ascii="宋体" w:cs="Times New Roman"/>
          <w:sz w:val="24"/>
          <w:szCs w:val="24"/>
        </w:rPr>
      </w:pPr>
      <w:r>
        <w:rPr>
          <w:rFonts w:hint="eastAsia" w:ascii="宋体" w:hAnsi="宋体" w:cs="宋体"/>
          <w:b/>
          <w:bCs/>
          <w:sz w:val="24"/>
          <w:szCs w:val="24"/>
        </w:rPr>
        <w:t>第五十四条</w:t>
      </w:r>
      <w:r>
        <w:rPr>
          <w:rFonts w:hint="eastAsia" w:ascii="宋体" w:hAnsi="宋体" w:cs="宋体"/>
          <w:sz w:val="24"/>
          <w:szCs w:val="24"/>
        </w:rPr>
        <w:t>　公司登记在册的所有股东或其代理人，均有权出席股东大会。并依照有关法律、法规及本章程行使表决权。</w:t>
      </w:r>
    </w:p>
    <w:p w14:paraId="10C1495F">
      <w:pPr>
        <w:spacing w:line="360" w:lineRule="auto"/>
        <w:ind w:firstLine="480" w:firstLineChars="200"/>
        <w:rPr>
          <w:rFonts w:ascii="宋体" w:cs="Times New Roman"/>
          <w:sz w:val="24"/>
          <w:szCs w:val="24"/>
        </w:rPr>
      </w:pPr>
      <w:r>
        <w:rPr>
          <w:rFonts w:hint="eastAsia" w:ascii="宋体" w:hAnsi="宋体" w:cs="宋体"/>
          <w:sz w:val="24"/>
          <w:szCs w:val="24"/>
        </w:rPr>
        <w:t>股东可以亲自出席股东大会，也可以委托代理人代为出席和表决。</w:t>
      </w:r>
    </w:p>
    <w:p w14:paraId="58AD9A81">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第五十五条  </w:t>
      </w:r>
      <w:r>
        <w:rPr>
          <w:rFonts w:hint="eastAsia" w:ascii="宋体" w:hAnsi="宋体" w:cs="宋体"/>
          <w:sz w:val="24"/>
          <w:szCs w:val="24"/>
        </w:rPr>
        <w:t>个人股东亲自出席会议的，应出示本人身份证或其他能够表明其身份的有效证件或证明；委托代理他人出席会议的，应出示本人有效身份证件、股东授权委托书。</w:t>
      </w:r>
    </w:p>
    <w:p w14:paraId="5F650201">
      <w:pPr>
        <w:spacing w:line="360" w:lineRule="auto"/>
        <w:ind w:firstLine="480" w:firstLineChars="200"/>
        <w:rPr>
          <w:rFonts w:ascii="宋体" w:cs="Times New Roman"/>
          <w:sz w:val="24"/>
          <w:szCs w:val="24"/>
        </w:rPr>
      </w:pPr>
      <w:r>
        <w:rPr>
          <w:rFonts w:hint="eastAsia" w:ascii="宋体" w:hAnsi="宋体" w:cs="宋体"/>
          <w:sz w:val="24"/>
          <w:szCs w:val="24"/>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76947F5E">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第五十六条  </w:t>
      </w:r>
      <w:r>
        <w:rPr>
          <w:rFonts w:hint="eastAsia" w:ascii="宋体" w:hAnsi="宋体" w:cs="宋体"/>
          <w:sz w:val="24"/>
          <w:szCs w:val="24"/>
        </w:rPr>
        <w:t>股东出具的委托他人出席股东大会的授权委托书应当载明下列内容：</w:t>
      </w:r>
    </w:p>
    <w:p w14:paraId="17BFB875">
      <w:pPr>
        <w:spacing w:line="360" w:lineRule="auto"/>
        <w:ind w:firstLine="480" w:firstLineChars="200"/>
        <w:rPr>
          <w:rFonts w:ascii="宋体" w:cs="Times New Roman"/>
          <w:sz w:val="24"/>
          <w:szCs w:val="24"/>
        </w:rPr>
      </w:pPr>
      <w:r>
        <w:rPr>
          <w:rFonts w:hint="eastAsia" w:ascii="宋体" w:hAnsi="宋体" w:cs="宋体"/>
          <w:sz w:val="24"/>
          <w:szCs w:val="24"/>
        </w:rPr>
        <w:t>（一）代理人的姓名；</w:t>
      </w:r>
    </w:p>
    <w:p w14:paraId="082D984D">
      <w:pPr>
        <w:spacing w:line="360" w:lineRule="auto"/>
        <w:ind w:firstLine="480" w:firstLineChars="200"/>
        <w:rPr>
          <w:rFonts w:ascii="宋体" w:cs="Times New Roman"/>
          <w:sz w:val="24"/>
          <w:szCs w:val="24"/>
        </w:rPr>
      </w:pPr>
      <w:r>
        <w:rPr>
          <w:rFonts w:hint="eastAsia" w:ascii="宋体" w:hAnsi="宋体" w:cs="宋体"/>
          <w:sz w:val="24"/>
          <w:szCs w:val="24"/>
        </w:rPr>
        <w:t>（二）是否具有表决权；</w:t>
      </w:r>
    </w:p>
    <w:p w14:paraId="3CC28EA5">
      <w:pPr>
        <w:spacing w:line="360" w:lineRule="auto"/>
        <w:ind w:firstLine="480" w:firstLineChars="200"/>
        <w:rPr>
          <w:rFonts w:ascii="宋体" w:cs="Times New Roman"/>
          <w:sz w:val="24"/>
          <w:szCs w:val="24"/>
        </w:rPr>
      </w:pPr>
      <w:r>
        <w:rPr>
          <w:rFonts w:hint="eastAsia" w:ascii="宋体" w:hAnsi="宋体" w:cs="宋体"/>
          <w:sz w:val="24"/>
          <w:szCs w:val="24"/>
        </w:rPr>
        <w:t>（三）分别对列入股东大会议程的每一审议事项投同意、反对或弃权票的指示；</w:t>
      </w:r>
    </w:p>
    <w:p w14:paraId="324DAD23">
      <w:pPr>
        <w:spacing w:line="360" w:lineRule="auto"/>
        <w:ind w:firstLine="480" w:firstLineChars="200"/>
        <w:rPr>
          <w:rFonts w:ascii="宋体" w:cs="Times New Roman"/>
          <w:sz w:val="24"/>
          <w:szCs w:val="24"/>
        </w:rPr>
      </w:pPr>
      <w:r>
        <w:rPr>
          <w:rFonts w:hint="eastAsia" w:ascii="宋体" w:hAnsi="宋体" w:cs="宋体"/>
          <w:sz w:val="24"/>
          <w:szCs w:val="24"/>
        </w:rPr>
        <w:t>（四）委托书签发日期和有效期限；</w:t>
      </w:r>
    </w:p>
    <w:p w14:paraId="4AEF7EBD">
      <w:pPr>
        <w:spacing w:line="360" w:lineRule="auto"/>
        <w:ind w:firstLine="480" w:firstLineChars="200"/>
        <w:rPr>
          <w:rFonts w:ascii="宋体" w:cs="Times New Roman"/>
          <w:sz w:val="24"/>
          <w:szCs w:val="24"/>
        </w:rPr>
      </w:pPr>
      <w:r>
        <w:rPr>
          <w:rFonts w:hint="eastAsia" w:ascii="宋体" w:hAnsi="宋体" w:cs="宋体"/>
          <w:sz w:val="24"/>
          <w:szCs w:val="24"/>
        </w:rPr>
        <w:t>（五）委托人签名（或盖章）。委托人为法人股东的，应加盖法人单位印章。</w:t>
      </w:r>
    </w:p>
    <w:p w14:paraId="51555D96">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第五十七条  </w:t>
      </w:r>
      <w:r>
        <w:rPr>
          <w:rFonts w:hint="eastAsia" w:ascii="宋体" w:hAnsi="宋体" w:cs="宋体"/>
          <w:sz w:val="24"/>
          <w:szCs w:val="24"/>
        </w:rPr>
        <w:t>委托书应当注明如果股东不作具体指示，股东代理人是否可以按自己的意思表决。</w:t>
      </w:r>
    </w:p>
    <w:p w14:paraId="5AA8D59D">
      <w:pPr>
        <w:tabs>
          <w:tab w:val="left" w:pos="1890"/>
          <w:tab w:val="left" w:pos="2520"/>
          <w:tab w:val="left" w:pos="3150"/>
          <w:tab w:val="left" w:pos="3780"/>
        </w:tabs>
        <w:spacing w:line="360" w:lineRule="auto"/>
        <w:ind w:firstLine="472" w:firstLineChars="196"/>
        <w:rPr>
          <w:rFonts w:ascii="宋体" w:cs="宋体"/>
          <w:b/>
          <w:bCs/>
          <w:sz w:val="24"/>
          <w:szCs w:val="24"/>
        </w:rPr>
      </w:pPr>
      <w:r>
        <w:rPr>
          <w:rFonts w:hint="eastAsia" w:ascii="宋体" w:hAnsi="宋体" w:cs="宋体"/>
          <w:b/>
          <w:bCs/>
          <w:sz w:val="24"/>
          <w:szCs w:val="24"/>
        </w:rPr>
        <w:t xml:space="preserve">第五十八条  </w:t>
      </w:r>
      <w:r>
        <w:rPr>
          <w:rFonts w:hint="eastAsia" w:ascii="宋体" w:hAnsi="宋体" w:cs="Arial"/>
          <w:sz w:val="24"/>
          <w:szCs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1801491A">
      <w:pPr>
        <w:spacing w:line="360" w:lineRule="auto"/>
        <w:ind w:firstLine="480" w:firstLineChars="200"/>
        <w:rPr>
          <w:rFonts w:ascii="宋体" w:cs="Times New Roman"/>
          <w:sz w:val="24"/>
          <w:szCs w:val="24"/>
        </w:rPr>
      </w:pPr>
      <w:r>
        <w:rPr>
          <w:rFonts w:hint="eastAsia" w:ascii="宋体" w:hAnsi="宋体" w:cs="宋体"/>
          <w:sz w:val="24"/>
          <w:szCs w:val="24"/>
        </w:rPr>
        <w:t>委托人为法人的，由其法定代表人或者董事会、其他决策机构决议授权的人作为代表出席公司的股东大会。</w:t>
      </w:r>
    </w:p>
    <w:p w14:paraId="10F3B60F">
      <w:pPr>
        <w:spacing w:line="360" w:lineRule="auto"/>
        <w:ind w:firstLine="482" w:firstLineChars="200"/>
        <w:rPr>
          <w:rFonts w:ascii="宋体" w:cs="宋体"/>
          <w:sz w:val="24"/>
          <w:szCs w:val="24"/>
        </w:rPr>
      </w:pPr>
      <w:r>
        <w:rPr>
          <w:rFonts w:hint="eastAsia" w:ascii="宋体" w:hAnsi="宋体" w:cs="宋体"/>
          <w:b/>
          <w:bCs/>
          <w:sz w:val="24"/>
          <w:szCs w:val="24"/>
        </w:rPr>
        <w:t xml:space="preserve">第五十九条  </w:t>
      </w:r>
      <w:r>
        <w:rPr>
          <w:rFonts w:hint="eastAsia" w:ascii="宋体" w:hAnsi="宋体" w:cs="宋体"/>
          <w:sz w:val="24"/>
          <w:szCs w:val="24"/>
        </w:rPr>
        <w:t>因委托人授权不明或其他代理人提交的证明委托人合法身份、委托关系等相关凭证不符合法律、法规和《公司章程》规定，致使股东或其代理人出席本次会议资格被认定无效的，由委托人及其代理人承担相应的法律后果。</w:t>
      </w:r>
    </w:p>
    <w:p w14:paraId="30D45968">
      <w:pPr>
        <w:tabs>
          <w:tab w:val="left" w:pos="1890"/>
          <w:tab w:val="left" w:pos="2520"/>
          <w:tab w:val="left" w:pos="3150"/>
          <w:tab w:val="left" w:pos="3780"/>
        </w:tabs>
        <w:spacing w:line="360" w:lineRule="auto"/>
        <w:ind w:firstLine="482" w:firstLineChars="200"/>
        <w:rPr>
          <w:rFonts w:ascii="宋体" w:cs="Arial"/>
          <w:sz w:val="24"/>
          <w:szCs w:val="24"/>
        </w:rPr>
      </w:pPr>
      <w:r>
        <w:rPr>
          <w:rFonts w:hint="eastAsia" w:ascii="宋体" w:hAnsi="宋体" w:cs="宋体"/>
          <w:b/>
          <w:sz w:val="24"/>
          <w:szCs w:val="24"/>
        </w:rPr>
        <w:t xml:space="preserve">第六十条  </w:t>
      </w:r>
      <w:r>
        <w:rPr>
          <w:rFonts w:hint="eastAsia" w:ascii="宋体" w:hAnsi="宋体" w:cs="Arial"/>
          <w:sz w:val="24"/>
          <w:szCs w:val="24"/>
        </w:rPr>
        <w:t>出席会议人员的会议登记册由公司负责制作。会议登记册载明参加会议人员姓名</w:t>
      </w:r>
      <w:r>
        <w:rPr>
          <w:rFonts w:ascii="宋体" w:hAnsi="宋体" w:cs="Arial"/>
          <w:sz w:val="24"/>
          <w:szCs w:val="24"/>
        </w:rPr>
        <w:t>(</w:t>
      </w:r>
      <w:r>
        <w:rPr>
          <w:rFonts w:hint="eastAsia" w:ascii="宋体" w:hAnsi="宋体" w:cs="Arial"/>
          <w:sz w:val="24"/>
          <w:szCs w:val="24"/>
        </w:rPr>
        <w:t>或单位名称</w:t>
      </w:r>
      <w:r>
        <w:rPr>
          <w:rFonts w:ascii="宋体" w:hAnsi="宋体" w:cs="Arial"/>
          <w:sz w:val="24"/>
          <w:szCs w:val="24"/>
        </w:rPr>
        <w:t>)</w:t>
      </w:r>
      <w:r>
        <w:rPr>
          <w:rFonts w:hint="eastAsia" w:ascii="宋体" w:hAnsi="宋体" w:cs="Arial"/>
          <w:sz w:val="24"/>
          <w:szCs w:val="24"/>
        </w:rPr>
        <w:t>、身份证号码、住所地址、持有或者代表有表决权的股份数额、被代理人姓名</w:t>
      </w:r>
      <w:r>
        <w:rPr>
          <w:rFonts w:ascii="宋体" w:hAnsi="宋体" w:cs="Arial"/>
          <w:sz w:val="24"/>
          <w:szCs w:val="24"/>
        </w:rPr>
        <w:t>(</w:t>
      </w:r>
      <w:r>
        <w:rPr>
          <w:rFonts w:hint="eastAsia" w:ascii="宋体" w:hAnsi="宋体" w:cs="Arial"/>
          <w:sz w:val="24"/>
          <w:szCs w:val="24"/>
        </w:rPr>
        <w:t>或单位名称</w:t>
      </w:r>
      <w:r>
        <w:rPr>
          <w:rFonts w:ascii="宋体" w:hAnsi="宋体" w:cs="Arial"/>
          <w:sz w:val="24"/>
          <w:szCs w:val="24"/>
        </w:rPr>
        <w:t>)</w:t>
      </w:r>
      <w:r>
        <w:rPr>
          <w:rFonts w:hint="eastAsia" w:ascii="宋体" w:hAnsi="宋体" w:cs="Arial"/>
          <w:sz w:val="24"/>
          <w:szCs w:val="24"/>
        </w:rPr>
        <w:t>等事项。</w:t>
      </w:r>
    </w:p>
    <w:p w14:paraId="1BFBD395">
      <w:pPr>
        <w:tabs>
          <w:tab w:val="left" w:pos="1890"/>
          <w:tab w:val="left" w:pos="2520"/>
          <w:tab w:val="left" w:pos="3150"/>
          <w:tab w:val="left" w:pos="3780"/>
        </w:tabs>
        <w:spacing w:line="360" w:lineRule="auto"/>
        <w:ind w:firstLine="480" w:firstLineChars="200"/>
        <w:rPr>
          <w:rFonts w:ascii="宋体" w:cs="Arial"/>
          <w:sz w:val="24"/>
          <w:szCs w:val="24"/>
        </w:rPr>
      </w:pPr>
      <w:r>
        <w:rPr>
          <w:rFonts w:hint="eastAsia" w:ascii="宋体" w:hAnsi="宋体" w:cs="Arial"/>
          <w:sz w:val="24"/>
          <w:szCs w:val="24"/>
        </w:rPr>
        <w:t>召集人将依据股东名册对股东资格的合法性进行验证，并登记股东姓名（或名称）及其所持有表决权的股份数。</w:t>
      </w:r>
    </w:p>
    <w:p w14:paraId="1C0366B2">
      <w:pPr>
        <w:spacing w:line="360" w:lineRule="auto"/>
        <w:ind w:firstLine="482" w:firstLineChars="200"/>
        <w:rPr>
          <w:rStyle w:val="51"/>
          <w:rFonts w:ascii="宋体" w:cs="Times New Roman"/>
          <w:sz w:val="24"/>
          <w:szCs w:val="24"/>
        </w:rPr>
      </w:pPr>
      <w:r>
        <w:rPr>
          <w:rStyle w:val="51"/>
          <w:rFonts w:hint="eastAsia" w:ascii="宋体" w:hAnsi="宋体" w:cs="宋体"/>
          <w:b/>
          <w:bCs/>
          <w:sz w:val="24"/>
          <w:szCs w:val="24"/>
        </w:rPr>
        <w:t xml:space="preserve">第六十一条  </w:t>
      </w:r>
      <w:r>
        <w:rPr>
          <w:rStyle w:val="51"/>
          <w:rFonts w:hint="eastAsia" w:ascii="宋体" w:hAnsi="宋体" w:cs="宋体"/>
          <w:sz w:val="24"/>
          <w:szCs w:val="24"/>
        </w:rPr>
        <w:t>公司召开股东大会时，公司全体董事、监事和董事会秘书应当出席会议，总经理和其他高级管理人员应当列席会议。</w:t>
      </w:r>
    </w:p>
    <w:p w14:paraId="6D21BDE0">
      <w:pPr>
        <w:spacing w:line="360" w:lineRule="auto"/>
        <w:ind w:firstLine="482" w:firstLineChars="200"/>
        <w:rPr>
          <w:rFonts w:ascii="宋体" w:cs="Times New Roman"/>
          <w:sz w:val="24"/>
          <w:szCs w:val="24"/>
        </w:rPr>
      </w:pPr>
      <w:r>
        <w:rPr>
          <w:rStyle w:val="51"/>
          <w:rFonts w:hint="eastAsia" w:ascii="宋体" w:hAnsi="宋体" w:cs="宋体"/>
          <w:b/>
          <w:bCs/>
          <w:sz w:val="24"/>
          <w:szCs w:val="24"/>
        </w:rPr>
        <w:t xml:space="preserve">第六十二条  </w:t>
      </w:r>
      <w:r>
        <w:rPr>
          <w:rStyle w:val="51"/>
          <w:rFonts w:hint="eastAsia" w:ascii="宋体" w:hAnsi="宋体" w:cs="宋体"/>
          <w:sz w:val="24"/>
          <w:szCs w:val="24"/>
        </w:rPr>
        <w:t>股东大会由董事长主持。董事长不能</w:t>
      </w:r>
      <w:r>
        <w:rPr>
          <w:rFonts w:hint="eastAsia" w:ascii="宋体" w:hAnsi="宋体" w:cs="宋体"/>
          <w:sz w:val="24"/>
          <w:szCs w:val="24"/>
        </w:rPr>
        <w:t>履行职务或者不履行职务的，由副董事长主持；副董事长不能履行职务或者不履行职务的，</w:t>
      </w:r>
      <w:r>
        <w:rPr>
          <w:rStyle w:val="51"/>
          <w:rFonts w:hint="eastAsia" w:ascii="宋体" w:hAnsi="宋体" w:cs="宋体"/>
          <w:sz w:val="24"/>
          <w:szCs w:val="24"/>
        </w:rPr>
        <w:t>由半数以上董事共同推举的一名董事主持。</w:t>
      </w:r>
    </w:p>
    <w:p w14:paraId="1D1A8DDA">
      <w:pPr>
        <w:spacing w:line="360" w:lineRule="auto"/>
        <w:ind w:firstLine="480" w:firstLineChars="200"/>
        <w:rPr>
          <w:rFonts w:ascii="宋体" w:cs="Times New Roman"/>
          <w:sz w:val="24"/>
          <w:szCs w:val="24"/>
        </w:rPr>
      </w:pPr>
      <w:r>
        <w:rPr>
          <w:rStyle w:val="51"/>
          <w:rFonts w:hint="eastAsia" w:ascii="宋体" w:hAnsi="宋体" w:cs="宋体"/>
          <w:sz w:val="24"/>
          <w:szCs w:val="24"/>
        </w:rPr>
        <w:t>监事会自行召集的股东大会，由监事会主席主持。监事会主席不能履行职务或不履行职务时，由半数以上监事共同推举的一名监事主持。</w:t>
      </w:r>
    </w:p>
    <w:p w14:paraId="7723803A">
      <w:pPr>
        <w:spacing w:line="360" w:lineRule="auto"/>
        <w:ind w:firstLine="480" w:firstLineChars="200"/>
        <w:rPr>
          <w:rFonts w:ascii="宋体" w:cs="Times New Roman"/>
          <w:sz w:val="24"/>
          <w:szCs w:val="24"/>
        </w:rPr>
      </w:pPr>
      <w:r>
        <w:rPr>
          <w:rStyle w:val="51"/>
          <w:rFonts w:hint="eastAsia" w:ascii="宋体" w:hAnsi="宋体" w:cs="宋体"/>
          <w:sz w:val="24"/>
          <w:szCs w:val="24"/>
        </w:rPr>
        <w:t>股东自行召集的股东大会，由召集人推举代表主持。</w:t>
      </w:r>
    </w:p>
    <w:p w14:paraId="7FCA11BA">
      <w:pPr>
        <w:pStyle w:val="11"/>
        <w:spacing w:line="360" w:lineRule="auto"/>
        <w:rPr>
          <w:rStyle w:val="51"/>
          <w:color w:val="auto"/>
        </w:rPr>
      </w:pPr>
      <w:r>
        <w:rPr>
          <w:rStyle w:val="51"/>
          <w:rFonts w:hint="eastAsia" w:cs="宋体"/>
          <w:color w:val="auto"/>
        </w:rPr>
        <w:t>召开股东大会时，会议主持人违反议事规则使股东大会无法继续进行的，经现场出席股东大会有表决权过半数的股东同意，股东大会可推举一人担任会议主持人，继续开会。</w:t>
      </w:r>
    </w:p>
    <w:p w14:paraId="5EB66E8B">
      <w:pPr>
        <w:pStyle w:val="11"/>
        <w:spacing w:line="360" w:lineRule="auto"/>
        <w:rPr>
          <w:rStyle w:val="51"/>
          <w:color w:val="auto"/>
        </w:rPr>
      </w:pPr>
      <w:r>
        <w:rPr>
          <w:rStyle w:val="51"/>
          <w:rFonts w:hint="eastAsia" w:cs="宋体"/>
          <w:b/>
          <w:bCs/>
          <w:color w:val="auto"/>
        </w:rPr>
        <w:t xml:space="preserve">第六十三条  </w:t>
      </w:r>
      <w:r>
        <w:rPr>
          <w:rStyle w:val="51"/>
          <w:rFonts w:hint="eastAsia" w:cs="宋体"/>
          <w:color w:val="auto"/>
        </w:rPr>
        <w:t>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p>
    <w:p w14:paraId="69E8EE55">
      <w:pPr>
        <w:pStyle w:val="11"/>
        <w:spacing w:line="360" w:lineRule="auto"/>
        <w:rPr>
          <w:rStyle w:val="51"/>
          <w:color w:val="auto"/>
        </w:rPr>
      </w:pPr>
      <w:r>
        <w:rPr>
          <w:rStyle w:val="51"/>
          <w:rFonts w:hint="eastAsia" w:cs="宋体"/>
          <w:b/>
          <w:bCs/>
          <w:color w:val="auto"/>
        </w:rPr>
        <w:t xml:space="preserve">第六十四条  </w:t>
      </w:r>
      <w:r>
        <w:rPr>
          <w:rStyle w:val="51"/>
          <w:rFonts w:hint="eastAsia" w:cs="宋体"/>
          <w:color w:val="auto"/>
        </w:rPr>
        <w:t>在年度股东大会上，董事会、监事会应当就其过去一年的工作向股东大会作出报告。</w:t>
      </w:r>
    </w:p>
    <w:p w14:paraId="161FE5DF">
      <w:pPr>
        <w:pStyle w:val="11"/>
        <w:spacing w:line="360" w:lineRule="auto"/>
        <w:rPr>
          <w:b/>
          <w:bCs/>
          <w:color w:val="auto"/>
        </w:rPr>
      </w:pPr>
      <w:r>
        <w:rPr>
          <w:rStyle w:val="51"/>
          <w:rFonts w:hint="eastAsia" w:cs="宋体"/>
          <w:b/>
          <w:bCs/>
          <w:color w:val="auto"/>
        </w:rPr>
        <w:t xml:space="preserve">第六十五条  </w:t>
      </w:r>
      <w:r>
        <w:rPr>
          <w:rFonts w:hint="eastAsia" w:cs="Arial"/>
          <w:color w:val="auto"/>
        </w:rPr>
        <w:t>股东大会应有会议记录，由董事会秘书负责。</w:t>
      </w:r>
    </w:p>
    <w:p w14:paraId="7FB4EEAB">
      <w:pPr>
        <w:pStyle w:val="11"/>
        <w:spacing w:line="360" w:lineRule="auto"/>
        <w:rPr>
          <w:color w:val="auto"/>
        </w:rPr>
      </w:pPr>
      <w:r>
        <w:rPr>
          <w:rStyle w:val="51"/>
          <w:rFonts w:hint="eastAsia" w:cs="宋体"/>
          <w:b/>
          <w:bCs/>
          <w:color w:val="auto"/>
        </w:rPr>
        <w:t xml:space="preserve">第六十六条  </w:t>
      </w:r>
      <w:r>
        <w:rPr>
          <w:rFonts w:hint="eastAsia"/>
          <w:color w:val="auto"/>
        </w:rPr>
        <w:t>召集人应当保证会议记录内容真实、准确和完整。出席会议的董事、监事、董事会秘书、召集人或其代表、会议主持人应当在会议记录上签名。会议记录应当与现场出席股东的签名册及代理出席的委托书、其他方式表决情况的有效资料一并保存，保存期限为</w:t>
      </w:r>
      <w:r>
        <w:rPr>
          <w:color w:val="auto"/>
        </w:rPr>
        <w:t>10</w:t>
      </w:r>
      <w:r>
        <w:rPr>
          <w:rFonts w:hint="eastAsia"/>
          <w:color w:val="auto"/>
        </w:rPr>
        <w:t>年。</w:t>
      </w:r>
    </w:p>
    <w:p w14:paraId="6A45B0FC">
      <w:pPr>
        <w:tabs>
          <w:tab w:val="left" w:pos="1890"/>
          <w:tab w:val="left" w:pos="2520"/>
          <w:tab w:val="left" w:pos="3150"/>
          <w:tab w:val="left" w:pos="3780"/>
        </w:tabs>
        <w:spacing w:line="360" w:lineRule="auto"/>
        <w:ind w:firstLine="470" w:firstLineChars="196"/>
        <w:rPr>
          <w:rFonts w:ascii="宋体" w:cs="Arial"/>
          <w:sz w:val="24"/>
          <w:szCs w:val="24"/>
        </w:rPr>
      </w:pPr>
      <w:r>
        <w:rPr>
          <w:rFonts w:hint="eastAsia" w:ascii="宋体" w:hAnsi="宋体" w:cs="Arial"/>
          <w:sz w:val="24"/>
          <w:szCs w:val="24"/>
        </w:rPr>
        <w:t>召集人应当保证股东大会连续举行，直至形成最终决议。因不可抗力等特殊原因导致股东大会中止或不能作出决议的，应采取必要措施尽快恢复召开股东大会或直接终止本次股东大会。</w:t>
      </w:r>
    </w:p>
    <w:p w14:paraId="7B43F6FC">
      <w:pPr>
        <w:pStyle w:val="3"/>
        <w:rPr>
          <w:rFonts w:cs="宋体"/>
        </w:rPr>
      </w:pPr>
      <w:bookmarkStart w:id="65" w:name="_Toc285684136"/>
      <w:bookmarkStart w:id="66" w:name="_Toc314734397"/>
      <w:bookmarkStart w:id="67" w:name="_Toc425712708"/>
      <w:r>
        <w:rPr>
          <w:rFonts w:hint="eastAsia" w:cs="宋体"/>
        </w:rPr>
        <w:t>第六节  股东大会的表决和决议</w:t>
      </w:r>
      <w:bookmarkEnd w:id="65"/>
      <w:bookmarkEnd w:id="66"/>
      <w:bookmarkEnd w:id="67"/>
    </w:p>
    <w:p w14:paraId="02A0B7E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第六十七条  </w:t>
      </w:r>
      <w:r>
        <w:rPr>
          <w:rFonts w:hint="eastAsia" w:ascii="宋体" w:hAnsi="宋体" w:cs="宋体"/>
          <w:sz w:val="24"/>
          <w:szCs w:val="24"/>
        </w:rPr>
        <w:t>股东大会决议分为普通决议和特别决议。</w:t>
      </w:r>
    </w:p>
    <w:p w14:paraId="4A037D4A">
      <w:pPr>
        <w:spacing w:line="360" w:lineRule="auto"/>
        <w:ind w:firstLine="480" w:firstLineChars="200"/>
        <w:rPr>
          <w:rFonts w:ascii="宋体" w:cs="Times New Roman"/>
          <w:sz w:val="24"/>
          <w:szCs w:val="24"/>
        </w:rPr>
      </w:pPr>
      <w:r>
        <w:rPr>
          <w:rFonts w:hint="eastAsia" w:ascii="宋体" w:hAnsi="宋体" w:cs="宋体"/>
          <w:sz w:val="24"/>
          <w:szCs w:val="24"/>
        </w:rPr>
        <w:t>股东大会作出普通决议，应当由出席股东大会的股东（包括股东代理人）所持表决权的过半数通过。</w:t>
      </w:r>
    </w:p>
    <w:p w14:paraId="19136E84">
      <w:pPr>
        <w:spacing w:line="360" w:lineRule="auto"/>
        <w:ind w:firstLine="480" w:firstLineChars="200"/>
        <w:rPr>
          <w:rFonts w:ascii="宋体" w:cs="Times New Roman"/>
          <w:sz w:val="24"/>
          <w:szCs w:val="24"/>
        </w:rPr>
      </w:pPr>
      <w:r>
        <w:rPr>
          <w:rFonts w:hint="eastAsia" w:ascii="宋体" w:hAnsi="宋体" w:cs="宋体"/>
          <w:sz w:val="24"/>
          <w:szCs w:val="24"/>
        </w:rPr>
        <w:t>股东大会作出特别决议，应当由出席股东大会的股东（包括股东代理人）所持表决权的三分之二以上通过。</w:t>
      </w:r>
    </w:p>
    <w:p w14:paraId="1B3768E6">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第六十八条  </w:t>
      </w:r>
      <w:r>
        <w:rPr>
          <w:rFonts w:hint="eastAsia" w:ascii="宋体" w:hAnsi="宋体" w:cs="宋体"/>
          <w:sz w:val="24"/>
          <w:szCs w:val="24"/>
        </w:rPr>
        <w:t>下列事项由股东大会以普通决议通过：</w:t>
      </w:r>
    </w:p>
    <w:p w14:paraId="74FF58F4">
      <w:pPr>
        <w:pStyle w:val="60"/>
        <w:numPr>
          <w:ilvl w:val="0"/>
          <w:numId w:val="2"/>
        </w:numPr>
        <w:spacing w:line="360" w:lineRule="auto"/>
        <w:ind w:firstLineChars="0"/>
        <w:rPr>
          <w:rFonts w:ascii="宋体" w:cs="Times New Roman"/>
          <w:sz w:val="24"/>
          <w:szCs w:val="24"/>
        </w:rPr>
      </w:pPr>
      <w:r>
        <w:rPr>
          <w:rFonts w:hint="eastAsia" w:ascii="宋体" w:hAnsi="宋体" w:cs="宋体"/>
          <w:sz w:val="24"/>
          <w:szCs w:val="24"/>
        </w:rPr>
        <w:t>董事会和监事会的工作报告；</w:t>
      </w:r>
    </w:p>
    <w:p w14:paraId="29BF4853">
      <w:pPr>
        <w:pStyle w:val="60"/>
        <w:numPr>
          <w:ilvl w:val="0"/>
          <w:numId w:val="2"/>
        </w:numPr>
        <w:spacing w:line="360" w:lineRule="auto"/>
        <w:ind w:firstLineChars="0"/>
        <w:rPr>
          <w:rFonts w:ascii="宋体" w:cs="Times New Roman"/>
          <w:sz w:val="24"/>
          <w:szCs w:val="24"/>
        </w:rPr>
      </w:pPr>
      <w:r>
        <w:rPr>
          <w:rFonts w:hint="eastAsia" w:ascii="宋体" w:hAnsi="宋体" w:cs="宋体"/>
          <w:sz w:val="24"/>
          <w:szCs w:val="24"/>
        </w:rPr>
        <w:t>董事会拟定的利润分配方案和弥补亏损方案；</w:t>
      </w:r>
    </w:p>
    <w:p w14:paraId="28E6E00F">
      <w:pPr>
        <w:pStyle w:val="60"/>
        <w:numPr>
          <w:ilvl w:val="0"/>
          <w:numId w:val="2"/>
        </w:numPr>
        <w:spacing w:line="360" w:lineRule="auto"/>
        <w:ind w:firstLineChars="0"/>
        <w:rPr>
          <w:rFonts w:ascii="宋体" w:cs="Times New Roman"/>
          <w:sz w:val="24"/>
          <w:szCs w:val="24"/>
        </w:rPr>
      </w:pPr>
      <w:r>
        <w:rPr>
          <w:rFonts w:hint="eastAsia" w:ascii="宋体" w:hAnsi="宋体" w:cs="宋体"/>
          <w:sz w:val="24"/>
          <w:szCs w:val="24"/>
        </w:rPr>
        <w:t>董事会和监事会成员的任免及其报酬和支付方法；</w:t>
      </w:r>
    </w:p>
    <w:p w14:paraId="66651EFD">
      <w:pPr>
        <w:pStyle w:val="60"/>
        <w:numPr>
          <w:ilvl w:val="0"/>
          <w:numId w:val="2"/>
        </w:numPr>
        <w:spacing w:line="360" w:lineRule="auto"/>
        <w:ind w:firstLineChars="0"/>
        <w:rPr>
          <w:rFonts w:ascii="宋体" w:cs="Times New Roman"/>
          <w:sz w:val="24"/>
          <w:szCs w:val="24"/>
        </w:rPr>
      </w:pPr>
      <w:r>
        <w:rPr>
          <w:rFonts w:hint="eastAsia" w:ascii="宋体" w:hAnsi="宋体" w:cs="宋体"/>
          <w:sz w:val="24"/>
          <w:szCs w:val="24"/>
        </w:rPr>
        <w:t>公司年度预算、决算方案；</w:t>
      </w:r>
    </w:p>
    <w:p w14:paraId="009FA838">
      <w:pPr>
        <w:pStyle w:val="60"/>
        <w:numPr>
          <w:ilvl w:val="0"/>
          <w:numId w:val="2"/>
        </w:numPr>
        <w:spacing w:line="360" w:lineRule="auto"/>
        <w:ind w:firstLineChars="0"/>
        <w:rPr>
          <w:rFonts w:ascii="宋体" w:cs="Times New Roman"/>
          <w:sz w:val="24"/>
          <w:szCs w:val="24"/>
        </w:rPr>
      </w:pPr>
      <w:r>
        <w:rPr>
          <w:rFonts w:hint="eastAsia" w:ascii="宋体" w:hAnsi="宋体" w:cs="宋体"/>
          <w:sz w:val="24"/>
          <w:szCs w:val="24"/>
        </w:rPr>
        <w:t>公司年度报告；</w:t>
      </w:r>
    </w:p>
    <w:p w14:paraId="23F62737">
      <w:pPr>
        <w:numPr>
          <w:ilvl w:val="0"/>
          <w:numId w:val="2"/>
        </w:numPr>
        <w:spacing w:line="360" w:lineRule="auto"/>
        <w:ind w:left="0" w:firstLine="480" w:firstLineChars="200"/>
        <w:rPr>
          <w:rFonts w:ascii="宋体" w:cs="Times New Roman"/>
          <w:sz w:val="24"/>
          <w:szCs w:val="24"/>
        </w:rPr>
      </w:pPr>
      <w:r>
        <w:rPr>
          <w:rFonts w:hint="eastAsia" w:ascii="宋体" w:hAnsi="宋体" w:cs="宋体"/>
          <w:sz w:val="24"/>
          <w:szCs w:val="24"/>
        </w:rPr>
        <w:t>除法律、行政法规或《公司章程》规定应当以特别决议通过以外的其他事项。</w:t>
      </w:r>
    </w:p>
    <w:p w14:paraId="5B2B50AA">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第六十九条  </w:t>
      </w:r>
      <w:r>
        <w:rPr>
          <w:rFonts w:hint="eastAsia" w:ascii="宋体" w:hAnsi="宋体" w:cs="宋体"/>
          <w:sz w:val="24"/>
          <w:szCs w:val="24"/>
        </w:rPr>
        <w:t>下列事项由股东大会以特别决议通过：</w:t>
      </w:r>
    </w:p>
    <w:p w14:paraId="10D2311B">
      <w:pPr>
        <w:spacing w:line="360" w:lineRule="auto"/>
        <w:ind w:firstLine="480" w:firstLineChars="200"/>
        <w:rPr>
          <w:rFonts w:ascii="宋体" w:cs="Times New Roman"/>
          <w:sz w:val="24"/>
          <w:szCs w:val="24"/>
        </w:rPr>
      </w:pPr>
      <w:r>
        <w:rPr>
          <w:rFonts w:hint="eastAsia" w:ascii="宋体" w:hAnsi="宋体" w:cs="宋体"/>
          <w:sz w:val="24"/>
          <w:szCs w:val="24"/>
        </w:rPr>
        <w:t>（一）公司增加或者减少注册资本；</w:t>
      </w:r>
    </w:p>
    <w:p w14:paraId="76C4A657">
      <w:pPr>
        <w:spacing w:line="360" w:lineRule="auto"/>
        <w:ind w:firstLine="480" w:firstLineChars="200"/>
        <w:rPr>
          <w:rFonts w:ascii="宋体" w:cs="Times New Roman"/>
          <w:sz w:val="24"/>
          <w:szCs w:val="24"/>
        </w:rPr>
      </w:pPr>
      <w:r>
        <w:rPr>
          <w:rFonts w:hint="eastAsia" w:ascii="宋体" w:hAnsi="宋体" w:cs="宋体"/>
          <w:sz w:val="24"/>
          <w:szCs w:val="24"/>
        </w:rPr>
        <w:t>（二）公司合并、分立、解散和清算；</w:t>
      </w:r>
    </w:p>
    <w:p w14:paraId="52CEE7CE">
      <w:pPr>
        <w:spacing w:line="360" w:lineRule="auto"/>
        <w:ind w:firstLine="480" w:firstLineChars="200"/>
        <w:rPr>
          <w:rFonts w:ascii="宋体" w:cs="Times New Roman"/>
          <w:sz w:val="24"/>
          <w:szCs w:val="24"/>
        </w:rPr>
      </w:pPr>
      <w:r>
        <w:rPr>
          <w:rFonts w:hint="eastAsia" w:ascii="宋体" w:hAnsi="宋体" w:cs="宋体"/>
          <w:sz w:val="24"/>
          <w:szCs w:val="24"/>
        </w:rPr>
        <w:t>（三）《公司章程》的修改；</w:t>
      </w:r>
    </w:p>
    <w:p w14:paraId="147794A4">
      <w:pPr>
        <w:spacing w:line="360" w:lineRule="auto"/>
        <w:ind w:firstLine="480" w:firstLineChars="200"/>
        <w:rPr>
          <w:rFonts w:ascii="宋体" w:cs="Times New Roman"/>
          <w:sz w:val="24"/>
          <w:szCs w:val="24"/>
        </w:rPr>
      </w:pPr>
      <w:r>
        <w:rPr>
          <w:rFonts w:hint="eastAsia" w:ascii="宋体" w:hAnsi="宋体" w:cs="宋体"/>
          <w:sz w:val="24"/>
          <w:szCs w:val="24"/>
        </w:rPr>
        <w:t>（四）公司在一年内购买、出售重大资产或者担保金额超过公司最近一期经审计总资产</w:t>
      </w:r>
      <w:r>
        <w:rPr>
          <w:rFonts w:ascii="宋体" w:hAnsi="宋体" w:cs="宋体"/>
          <w:sz w:val="24"/>
          <w:szCs w:val="24"/>
        </w:rPr>
        <w:t>30%</w:t>
      </w:r>
      <w:r>
        <w:rPr>
          <w:rFonts w:hint="eastAsia" w:ascii="宋体" w:hAnsi="宋体" w:cs="宋体"/>
          <w:sz w:val="24"/>
          <w:szCs w:val="24"/>
        </w:rPr>
        <w:t>的事项；</w:t>
      </w:r>
    </w:p>
    <w:p w14:paraId="265CB774">
      <w:pPr>
        <w:spacing w:line="360" w:lineRule="auto"/>
        <w:ind w:firstLine="480" w:firstLineChars="200"/>
        <w:rPr>
          <w:rFonts w:ascii="宋体" w:cs="Times New Roman"/>
          <w:sz w:val="24"/>
          <w:szCs w:val="24"/>
        </w:rPr>
      </w:pPr>
      <w:r>
        <w:rPr>
          <w:rFonts w:hint="eastAsia" w:ascii="宋体" w:hAnsi="宋体" w:cs="宋体"/>
          <w:sz w:val="24"/>
          <w:szCs w:val="24"/>
        </w:rPr>
        <w:t>（五）《公司章程》第三十八条第（五）</w:t>
      </w:r>
      <w:r>
        <w:rPr>
          <w:rFonts w:hint="eastAsia" w:ascii="宋体" w:hAnsi="宋体"/>
          <w:sz w:val="24"/>
          <w:szCs w:val="24"/>
        </w:rPr>
        <w:t>项</w:t>
      </w:r>
      <w:r>
        <w:rPr>
          <w:rFonts w:hint="eastAsia" w:ascii="宋体" w:hAnsi="宋体" w:cs="宋体"/>
          <w:sz w:val="24"/>
          <w:szCs w:val="24"/>
        </w:rPr>
        <w:t>规定的担保事项；</w:t>
      </w:r>
    </w:p>
    <w:p w14:paraId="2DB14198">
      <w:pPr>
        <w:spacing w:line="360" w:lineRule="auto"/>
        <w:ind w:firstLine="480" w:firstLineChars="200"/>
        <w:rPr>
          <w:rFonts w:ascii="宋体" w:cs="Times New Roman"/>
          <w:sz w:val="24"/>
          <w:szCs w:val="24"/>
        </w:rPr>
      </w:pPr>
      <w:r>
        <w:rPr>
          <w:rFonts w:hint="eastAsia" w:ascii="宋体" w:hAnsi="宋体" w:cs="宋体"/>
          <w:sz w:val="24"/>
          <w:szCs w:val="24"/>
        </w:rPr>
        <w:t>（六）公司股权激励计划；</w:t>
      </w:r>
    </w:p>
    <w:p w14:paraId="214B44A5">
      <w:pPr>
        <w:spacing w:line="360" w:lineRule="auto"/>
        <w:ind w:firstLine="480" w:firstLineChars="200"/>
        <w:rPr>
          <w:rFonts w:ascii="宋体" w:cs="Times New Roman"/>
          <w:sz w:val="24"/>
          <w:szCs w:val="24"/>
        </w:rPr>
      </w:pPr>
      <w:r>
        <w:rPr>
          <w:rFonts w:hint="eastAsia" w:ascii="宋体" w:hAnsi="宋体" w:cs="宋体"/>
          <w:sz w:val="24"/>
          <w:szCs w:val="24"/>
        </w:rPr>
        <w:t>（七）法律、行政法规或者《公司章程》规定的，以及股东大会以普通决议认定会对公司产生重大影响的、需要以特别决议通过的其他事项。</w:t>
      </w:r>
    </w:p>
    <w:p w14:paraId="2BBD26D0">
      <w:pPr>
        <w:spacing w:line="360" w:lineRule="auto"/>
        <w:ind w:firstLine="482" w:firstLineChars="200"/>
        <w:rPr>
          <w:rFonts w:ascii="宋体" w:cs="Times New Roman"/>
          <w:sz w:val="24"/>
          <w:szCs w:val="24"/>
        </w:rPr>
      </w:pPr>
      <w:r>
        <w:rPr>
          <w:rStyle w:val="51"/>
          <w:rFonts w:hint="eastAsia" w:ascii="宋体" w:hAnsi="宋体" w:cs="宋体"/>
          <w:b/>
          <w:bCs/>
          <w:sz w:val="24"/>
          <w:szCs w:val="24"/>
        </w:rPr>
        <w:t xml:space="preserve">第七十条  </w:t>
      </w:r>
      <w:r>
        <w:rPr>
          <w:rStyle w:val="51"/>
          <w:rFonts w:hint="eastAsia" w:ascii="宋体" w:hAnsi="宋体" w:cs="宋体"/>
          <w:sz w:val="24"/>
          <w:szCs w:val="24"/>
        </w:rPr>
        <w:t>股东（包括股东代理人）以其所代表的有表决权的股份数额行使表决权，每一股份享有一票表决权。</w:t>
      </w:r>
    </w:p>
    <w:p w14:paraId="6BDD3F5E">
      <w:pPr>
        <w:pStyle w:val="11"/>
        <w:spacing w:line="360" w:lineRule="auto"/>
        <w:rPr>
          <w:color w:val="auto"/>
        </w:rPr>
      </w:pPr>
      <w:r>
        <w:rPr>
          <w:rStyle w:val="51"/>
          <w:rFonts w:hint="eastAsia" w:cs="宋体"/>
          <w:color w:val="auto"/>
        </w:rPr>
        <w:t>公司持有的本公司股份没有表决权，且该部分股份不计入出席股东大会有表决权的股份总数。</w:t>
      </w:r>
    </w:p>
    <w:p w14:paraId="418E233E">
      <w:pPr>
        <w:spacing w:line="360" w:lineRule="auto"/>
        <w:ind w:firstLine="480" w:firstLineChars="200"/>
        <w:rPr>
          <w:rStyle w:val="51"/>
          <w:rFonts w:ascii="宋体" w:cs="Times New Roman"/>
          <w:sz w:val="24"/>
          <w:szCs w:val="24"/>
        </w:rPr>
      </w:pPr>
      <w:r>
        <w:rPr>
          <w:rStyle w:val="51"/>
          <w:rFonts w:hint="eastAsia" w:ascii="宋体" w:hAnsi="宋体" w:cs="宋体"/>
          <w:sz w:val="24"/>
          <w:szCs w:val="24"/>
        </w:rPr>
        <w:t>董事会和符合相关规定条件的股东可以征集股东投票权。</w:t>
      </w:r>
    </w:p>
    <w:p w14:paraId="6F81C275">
      <w:pPr>
        <w:tabs>
          <w:tab w:val="left" w:pos="1890"/>
          <w:tab w:val="left" w:pos="2520"/>
          <w:tab w:val="left" w:pos="3150"/>
          <w:tab w:val="left" w:pos="3780"/>
        </w:tabs>
        <w:spacing w:line="360" w:lineRule="auto"/>
        <w:ind w:firstLine="472" w:firstLineChars="196"/>
        <w:rPr>
          <w:rFonts w:ascii="宋体" w:cs="Arial"/>
          <w:sz w:val="24"/>
          <w:szCs w:val="24"/>
        </w:rPr>
      </w:pPr>
      <w:r>
        <w:rPr>
          <w:rStyle w:val="51"/>
          <w:rFonts w:hint="eastAsia" w:ascii="宋体" w:hAnsi="宋体" w:cs="宋体"/>
          <w:b/>
          <w:bCs/>
          <w:sz w:val="24"/>
          <w:szCs w:val="24"/>
        </w:rPr>
        <w:t xml:space="preserve">第七十一条  </w:t>
      </w:r>
      <w:r>
        <w:rPr>
          <w:rFonts w:hint="eastAsia" w:ascii="宋体" w:hAnsi="宋体" w:cs="Arial"/>
          <w:sz w:val="24"/>
          <w:szCs w:val="24"/>
        </w:rPr>
        <w:t>股东大会审议有关关联交易事项时，关联股东不应当参与投票表决，其所代表的有表决权的股份数不计入有效表决总数；股东大会决议应当充分披露非关联股东的表决情况。</w:t>
      </w:r>
    </w:p>
    <w:p w14:paraId="03DD557C">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第七十二条  </w:t>
      </w:r>
      <w:r>
        <w:rPr>
          <w:rFonts w:hint="eastAsia" w:ascii="宋体" w:hAnsi="宋体" w:cs="宋体"/>
          <w:sz w:val="24"/>
          <w:szCs w:val="24"/>
        </w:rPr>
        <w:t>除公司处于危机等特殊情况外，非经股东大会以特别决议批准，公司将不与董事、总经理和其他高级管理人员以外的人订立将公司全部或者重要业务的管理交予该人负责的合同。</w:t>
      </w:r>
    </w:p>
    <w:p w14:paraId="2A799FE5">
      <w:pPr>
        <w:spacing w:line="360" w:lineRule="auto"/>
        <w:ind w:firstLine="482" w:firstLineChars="200"/>
        <w:rPr>
          <w:rFonts w:ascii="宋体" w:cs="宋体"/>
          <w:sz w:val="24"/>
          <w:szCs w:val="24"/>
        </w:rPr>
      </w:pPr>
      <w:r>
        <w:rPr>
          <w:rStyle w:val="51"/>
          <w:rFonts w:hint="eastAsia" w:ascii="宋体" w:hAnsi="宋体" w:cs="宋体"/>
          <w:b/>
          <w:bCs/>
          <w:sz w:val="24"/>
          <w:szCs w:val="24"/>
        </w:rPr>
        <w:t xml:space="preserve">第七十三条  </w:t>
      </w:r>
      <w:r>
        <w:rPr>
          <w:rFonts w:hint="eastAsia" w:ascii="宋体" w:hAnsi="宋体" w:cs="宋体"/>
          <w:sz w:val="24"/>
          <w:szCs w:val="24"/>
        </w:rPr>
        <w:t>董事、监事候选人名单以提案的方式提请股东大会决议。</w:t>
      </w:r>
    </w:p>
    <w:p w14:paraId="1BAC11D4">
      <w:pPr>
        <w:tabs>
          <w:tab w:val="left" w:pos="2520"/>
        </w:tabs>
        <w:spacing w:line="360" w:lineRule="auto"/>
        <w:ind w:firstLine="480" w:firstLineChars="200"/>
        <w:rPr>
          <w:rFonts w:ascii="宋体" w:cs="Arial"/>
          <w:sz w:val="24"/>
          <w:szCs w:val="24"/>
        </w:rPr>
      </w:pPr>
      <w:r>
        <w:rPr>
          <w:rFonts w:hint="eastAsia" w:ascii="宋体" w:hAnsi="宋体" w:cs="Arial"/>
          <w:sz w:val="24"/>
          <w:szCs w:val="24"/>
        </w:rPr>
        <w:t>董事候选人由公司筹备委员会或现任董事会书面提名，提交股东大会选举。</w:t>
      </w:r>
    </w:p>
    <w:p w14:paraId="7AAB12DB">
      <w:pPr>
        <w:tabs>
          <w:tab w:val="left" w:pos="2520"/>
          <w:tab w:val="left" w:pos="2625"/>
        </w:tabs>
        <w:spacing w:line="360" w:lineRule="auto"/>
        <w:ind w:firstLine="480" w:firstLineChars="200"/>
        <w:rPr>
          <w:rFonts w:ascii="宋体" w:cs="Arial"/>
          <w:sz w:val="24"/>
          <w:szCs w:val="24"/>
        </w:rPr>
      </w:pPr>
      <w:r>
        <w:rPr>
          <w:rFonts w:hint="eastAsia" w:ascii="宋体" w:hAnsi="宋体" w:cs="Arial"/>
          <w:sz w:val="24"/>
          <w:szCs w:val="24"/>
        </w:rPr>
        <w:t>股东代表监事候选人由公司筹备委员会或现任监事会书面提名，提交股东大会选举。</w:t>
      </w:r>
    </w:p>
    <w:p w14:paraId="31B9A56A">
      <w:pPr>
        <w:tabs>
          <w:tab w:val="left" w:pos="2520"/>
        </w:tabs>
        <w:spacing w:line="360" w:lineRule="auto"/>
        <w:ind w:firstLine="480" w:firstLineChars="200"/>
        <w:rPr>
          <w:rFonts w:ascii="宋体" w:cs="Arial"/>
          <w:sz w:val="24"/>
          <w:szCs w:val="24"/>
        </w:rPr>
      </w:pPr>
      <w:r>
        <w:rPr>
          <w:rFonts w:hint="eastAsia" w:ascii="宋体" w:hAnsi="宋体" w:cs="Arial"/>
          <w:sz w:val="24"/>
          <w:szCs w:val="24"/>
        </w:rPr>
        <w:t>监事会中的职工代表监事候选人由公司工会提名，职工代表大会直接选举产生。</w:t>
      </w:r>
    </w:p>
    <w:p w14:paraId="12923426">
      <w:pPr>
        <w:tabs>
          <w:tab w:val="left" w:pos="1890"/>
          <w:tab w:val="left" w:pos="2520"/>
          <w:tab w:val="left" w:pos="3780"/>
        </w:tabs>
        <w:spacing w:line="360" w:lineRule="auto"/>
        <w:ind w:firstLine="472" w:firstLineChars="196"/>
        <w:rPr>
          <w:rFonts w:ascii="宋体" w:cs="Arial"/>
          <w:sz w:val="24"/>
          <w:szCs w:val="24"/>
        </w:rPr>
      </w:pPr>
      <w:r>
        <w:rPr>
          <w:rStyle w:val="51"/>
          <w:rFonts w:hint="eastAsia" w:ascii="宋体" w:hAnsi="宋体" w:cs="宋体"/>
          <w:b/>
          <w:bCs/>
          <w:sz w:val="24"/>
          <w:szCs w:val="24"/>
        </w:rPr>
        <w:t xml:space="preserve">第七十四条  </w:t>
      </w:r>
      <w:r>
        <w:rPr>
          <w:rFonts w:hint="eastAsia" w:ascii="宋体" w:hAnsi="宋体" w:cs="Arial"/>
          <w:sz w:val="24"/>
          <w:szCs w:val="24"/>
        </w:rPr>
        <w:t>股东大会就选举董事或监事进行表决时，应当实行累积投票制。</w:t>
      </w:r>
    </w:p>
    <w:p w14:paraId="50E1F7BA">
      <w:pPr>
        <w:tabs>
          <w:tab w:val="left" w:pos="2520"/>
          <w:tab w:val="left" w:pos="2625"/>
        </w:tabs>
        <w:spacing w:line="360" w:lineRule="auto"/>
        <w:ind w:firstLine="480" w:firstLineChars="200"/>
        <w:rPr>
          <w:rFonts w:ascii="宋体" w:cs="Arial"/>
          <w:sz w:val="24"/>
          <w:szCs w:val="24"/>
        </w:rPr>
      </w:pPr>
      <w:r>
        <w:rPr>
          <w:rFonts w:hint="eastAsia" w:ascii="宋体" w:hAnsi="宋体" w:cs="Arial"/>
          <w:sz w:val="24"/>
          <w:szCs w:val="24"/>
        </w:rPr>
        <w:t>前款所称累积投票制是指股东大会选举董事或者监事时，每一股份拥有与应选董事或者监事人数相同的表决权，股东拥有的表决权可以集中使用。董事会应当向股东告知候选董事、监事的简历和基本情况。</w:t>
      </w:r>
    </w:p>
    <w:p w14:paraId="38323B52">
      <w:pPr>
        <w:tabs>
          <w:tab w:val="left" w:pos="2520"/>
        </w:tabs>
        <w:spacing w:line="360" w:lineRule="auto"/>
        <w:ind w:firstLine="482" w:firstLineChars="200"/>
        <w:rPr>
          <w:rFonts w:ascii="宋体" w:cs="Arial"/>
          <w:sz w:val="24"/>
          <w:szCs w:val="24"/>
        </w:rPr>
      </w:pPr>
      <w:r>
        <w:rPr>
          <w:rStyle w:val="51"/>
          <w:rFonts w:hint="eastAsia" w:ascii="宋体" w:hAnsi="宋体" w:cs="宋体"/>
          <w:b/>
          <w:bCs/>
          <w:sz w:val="24"/>
          <w:szCs w:val="24"/>
        </w:rPr>
        <w:t xml:space="preserve">第七十五条  </w:t>
      </w:r>
      <w:r>
        <w:rPr>
          <w:rFonts w:hint="eastAsia" w:ascii="宋体" w:hAnsi="宋体" w:cs="Arial"/>
          <w:sz w:val="24"/>
          <w:szCs w:val="24"/>
        </w:rPr>
        <w:t>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14:paraId="13A356C7">
      <w:pPr>
        <w:spacing w:line="360" w:lineRule="auto"/>
        <w:ind w:firstLine="482" w:firstLineChars="200"/>
        <w:rPr>
          <w:rStyle w:val="51"/>
          <w:rFonts w:ascii="宋体" w:cs="Times New Roman"/>
          <w:sz w:val="24"/>
          <w:szCs w:val="24"/>
        </w:rPr>
      </w:pPr>
      <w:r>
        <w:rPr>
          <w:rStyle w:val="51"/>
          <w:rFonts w:hint="eastAsia" w:ascii="宋体" w:hAnsi="宋体" w:cs="宋体"/>
          <w:b/>
          <w:bCs/>
          <w:sz w:val="24"/>
          <w:szCs w:val="24"/>
        </w:rPr>
        <w:t xml:space="preserve">第七十六条  </w:t>
      </w:r>
      <w:r>
        <w:rPr>
          <w:rStyle w:val="51"/>
          <w:rFonts w:hint="eastAsia" w:ascii="宋体" w:hAnsi="宋体" w:cs="宋体"/>
          <w:sz w:val="24"/>
          <w:szCs w:val="24"/>
        </w:rPr>
        <w:t>股东大会审议提案时，不得对提案进行修改，否则，有关变更应当被视为一个新的提案，不能在本次股东大会上进行表决。</w:t>
      </w:r>
    </w:p>
    <w:p w14:paraId="10AB86B6">
      <w:pPr>
        <w:spacing w:line="360" w:lineRule="auto"/>
        <w:ind w:firstLine="482" w:firstLineChars="200"/>
        <w:rPr>
          <w:rStyle w:val="51"/>
          <w:rFonts w:ascii="宋体" w:cs="宋体"/>
          <w:sz w:val="24"/>
          <w:szCs w:val="24"/>
        </w:rPr>
      </w:pPr>
      <w:r>
        <w:rPr>
          <w:rStyle w:val="51"/>
          <w:rFonts w:hint="eastAsia" w:ascii="宋体" w:hAnsi="宋体" w:cs="宋体"/>
          <w:b/>
          <w:bCs/>
          <w:sz w:val="24"/>
          <w:szCs w:val="24"/>
        </w:rPr>
        <w:t xml:space="preserve">第七十七条  </w:t>
      </w:r>
      <w:r>
        <w:rPr>
          <w:rStyle w:val="51"/>
          <w:rFonts w:hint="eastAsia" w:ascii="宋体" w:hAnsi="宋体" w:cs="宋体"/>
          <w:sz w:val="24"/>
          <w:szCs w:val="24"/>
        </w:rPr>
        <w:t>股东大会采取记名方式投票表决。</w:t>
      </w:r>
    </w:p>
    <w:p w14:paraId="0EE6A9C7">
      <w:pPr>
        <w:tabs>
          <w:tab w:val="left" w:pos="1890"/>
          <w:tab w:val="left" w:pos="2520"/>
          <w:tab w:val="left" w:pos="3150"/>
          <w:tab w:val="left" w:pos="3780"/>
        </w:tabs>
        <w:spacing w:line="360" w:lineRule="auto"/>
        <w:ind w:firstLine="470" w:firstLineChars="195"/>
        <w:rPr>
          <w:rFonts w:ascii="宋体" w:hAnsi="宋体" w:cs="Arial"/>
          <w:sz w:val="24"/>
          <w:szCs w:val="24"/>
        </w:rPr>
      </w:pPr>
      <w:r>
        <w:rPr>
          <w:rStyle w:val="51"/>
          <w:rFonts w:hint="eastAsia" w:ascii="宋体" w:hAnsi="宋体" w:cs="宋体"/>
          <w:b/>
          <w:bCs/>
          <w:sz w:val="24"/>
          <w:szCs w:val="24"/>
        </w:rPr>
        <w:t xml:space="preserve">第七十八条  </w:t>
      </w:r>
      <w:r>
        <w:rPr>
          <w:rFonts w:hint="eastAsia" w:ascii="宋体" w:hAnsi="宋体" w:cs="Arial"/>
          <w:sz w:val="24"/>
          <w:szCs w:val="24"/>
        </w:rPr>
        <w:t>股东大会对提案进行表决前，会议主持人应当指定两名股东代表参加计票和监票。审议事项与股东有利害关系的，相关股东及代理人不得参加计票、监票。</w:t>
      </w:r>
    </w:p>
    <w:p w14:paraId="0A281031">
      <w:pPr>
        <w:spacing w:line="360" w:lineRule="auto"/>
        <w:ind w:firstLine="480" w:firstLineChars="200"/>
        <w:rPr>
          <w:rFonts w:ascii="宋体" w:cs="Arial"/>
          <w:sz w:val="24"/>
          <w:szCs w:val="24"/>
        </w:rPr>
      </w:pPr>
      <w:r>
        <w:rPr>
          <w:rFonts w:hint="eastAsia" w:ascii="宋体" w:hAnsi="宋体" w:cs="Arial"/>
          <w:sz w:val="24"/>
          <w:szCs w:val="24"/>
        </w:rPr>
        <w:t>股东大会对提案进行表决时，应当由股东代表与监事代表共同负责计票、监票，并当场公布表决结果，决议的表决结果载入会议记录。</w:t>
      </w:r>
    </w:p>
    <w:p w14:paraId="5575B1C1">
      <w:pPr>
        <w:spacing w:line="360" w:lineRule="auto"/>
        <w:ind w:firstLine="482" w:firstLineChars="200"/>
        <w:rPr>
          <w:rFonts w:ascii="宋体" w:cs="Times New Roman"/>
          <w:sz w:val="24"/>
          <w:szCs w:val="24"/>
        </w:rPr>
      </w:pPr>
      <w:r>
        <w:rPr>
          <w:rStyle w:val="51"/>
          <w:rFonts w:hint="eastAsia" w:ascii="宋体" w:hAnsi="宋体" w:cs="宋体"/>
          <w:b/>
          <w:bCs/>
          <w:sz w:val="24"/>
          <w:szCs w:val="24"/>
        </w:rPr>
        <w:t xml:space="preserve">第七十九条  </w:t>
      </w:r>
      <w:r>
        <w:rPr>
          <w:rFonts w:hint="eastAsia" w:ascii="宋体" w:hAnsi="宋体" w:cs="宋体"/>
          <w:sz w:val="24"/>
          <w:szCs w:val="24"/>
        </w:rPr>
        <w:t>出席股东大会的股东，应当对提交表决的提案发表以下意见之一：同意、反对或弃权。</w:t>
      </w:r>
    </w:p>
    <w:p w14:paraId="11EFDC6A">
      <w:pPr>
        <w:spacing w:line="360" w:lineRule="auto"/>
        <w:ind w:firstLine="480" w:firstLineChars="200"/>
        <w:rPr>
          <w:rStyle w:val="51"/>
          <w:rFonts w:ascii="宋体" w:cs="Times New Roman"/>
          <w:sz w:val="24"/>
          <w:szCs w:val="24"/>
        </w:rPr>
      </w:pPr>
      <w:r>
        <w:rPr>
          <w:rFonts w:hint="eastAsia" w:ascii="宋体" w:hAnsi="宋体" w:cs="宋体"/>
          <w:sz w:val="24"/>
          <w:szCs w:val="24"/>
        </w:rPr>
        <w:t>未填、错填、字迹无法辨认的表决票或未投的表决票均视为投票人放弃表决权利，其所持股份数的表决结果应计为“弃权”。</w:t>
      </w:r>
    </w:p>
    <w:p w14:paraId="05F9FFF5">
      <w:pPr>
        <w:spacing w:line="360" w:lineRule="auto"/>
        <w:ind w:firstLine="482" w:firstLineChars="200"/>
        <w:rPr>
          <w:rStyle w:val="51"/>
          <w:rFonts w:ascii="宋体" w:cs="宋体"/>
          <w:sz w:val="24"/>
          <w:szCs w:val="24"/>
        </w:rPr>
      </w:pPr>
      <w:r>
        <w:rPr>
          <w:rStyle w:val="51"/>
          <w:rFonts w:hint="eastAsia" w:ascii="宋体" w:hAnsi="宋体" w:cs="宋体"/>
          <w:b/>
          <w:bCs/>
          <w:sz w:val="24"/>
          <w:szCs w:val="24"/>
        </w:rPr>
        <w:t xml:space="preserve">第八十条  </w:t>
      </w:r>
      <w:r>
        <w:rPr>
          <w:rStyle w:val="51"/>
          <w:rFonts w:hint="eastAsia" w:ascii="宋体" w:hAnsi="宋体" w:cs="宋体"/>
          <w:sz w:val="24"/>
          <w:szCs w:val="24"/>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14:paraId="7617E83A">
      <w:pPr>
        <w:spacing w:line="360" w:lineRule="auto"/>
        <w:ind w:firstLine="482" w:firstLineChars="200"/>
        <w:rPr>
          <w:rFonts w:ascii="宋体" w:cs="Times New Roman"/>
          <w:sz w:val="24"/>
          <w:szCs w:val="24"/>
        </w:rPr>
      </w:pPr>
      <w:r>
        <w:rPr>
          <w:rStyle w:val="51"/>
          <w:rFonts w:hint="eastAsia" w:ascii="宋体" w:hAnsi="宋体" w:cs="宋体"/>
          <w:b/>
          <w:bCs/>
          <w:sz w:val="24"/>
          <w:szCs w:val="24"/>
        </w:rPr>
        <w:t xml:space="preserve">第八十一条  </w:t>
      </w:r>
      <w:r>
        <w:rPr>
          <w:rFonts w:hint="eastAsia" w:ascii="宋体" w:hAnsi="宋体" w:cs="Arial"/>
          <w:sz w:val="24"/>
          <w:szCs w:val="24"/>
        </w:rPr>
        <w:t>股东大会决议中应列明出席会议的股东和代理人人数、所持有表决权的股份总数及占公司有表决权股份总数的比例、表决方式、每项提案的表决结果和通过的各项决议的详细内容。</w:t>
      </w:r>
    </w:p>
    <w:p w14:paraId="23B23E86">
      <w:pPr>
        <w:tabs>
          <w:tab w:val="left" w:pos="1890"/>
          <w:tab w:val="left" w:pos="2520"/>
          <w:tab w:val="left" w:pos="3150"/>
          <w:tab w:val="left" w:pos="3780"/>
        </w:tabs>
        <w:spacing w:line="360" w:lineRule="auto"/>
        <w:ind w:firstLine="472" w:firstLineChars="196"/>
        <w:rPr>
          <w:rFonts w:ascii="宋体" w:cs="Arial"/>
          <w:sz w:val="24"/>
          <w:szCs w:val="24"/>
        </w:rPr>
      </w:pPr>
      <w:r>
        <w:rPr>
          <w:rStyle w:val="51"/>
          <w:rFonts w:hint="eastAsia" w:ascii="宋体" w:hAnsi="宋体" w:cs="宋体"/>
          <w:b/>
          <w:bCs/>
          <w:sz w:val="24"/>
          <w:szCs w:val="24"/>
        </w:rPr>
        <w:t xml:space="preserve">第八十二条  </w:t>
      </w:r>
      <w:r>
        <w:rPr>
          <w:rFonts w:hint="eastAsia" w:ascii="宋体" w:hAnsi="宋体" w:cs="Arial"/>
          <w:sz w:val="24"/>
          <w:szCs w:val="24"/>
        </w:rPr>
        <w:t>提案未获通过，或者本次股东大会变更前次股东大会决议的，应当在股东大会决议中作特别提示。</w:t>
      </w:r>
    </w:p>
    <w:p w14:paraId="307100C7">
      <w:pPr>
        <w:tabs>
          <w:tab w:val="left" w:pos="1890"/>
          <w:tab w:val="left" w:pos="2520"/>
          <w:tab w:val="left" w:pos="3150"/>
          <w:tab w:val="left" w:pos="3780"/>
        </w:tabs>
        <w:spacing w:line="360" w:lineRule="auto"/>
        <w:ind w:firstLine="472" w:firstLineChars="196"/>
        <w:rPr>
          <w:rFonts w:ascii="宋体" w:cs="Arial"/>
          <w:sz w:val="24"/>
          <w:szCs w:val="24"/>
        </w:rPr>
      </w:pPr>
      <w:r>
        <w:rPr>
          <w:rStyle w:val="51"/>
          <w:rFonts w:hint="eastAsia" w:ascii="宋体" w:hAnsi="宋体" w:cs="宋体"/>
          <w:b/>
          <w:bCs/>
          <w:sz w:val="24"/>
          <w:szCs w:val="24"/>
        </w:rPr>
        <w:t xml:space="preserve">第八十三条  </w:t>
      </w:r>
      <w:r>
        <w:rPr>
          <w:rFonts w:hint="eastAsia" w:ascii="宋体" w:hAnsi="宋体" w:cs="Arial"/>
          <w:sz w:val="24"/>
          <w:szCs w:val="24"/>
        </w:rPr>
        <w:t>股东大会通过有关董事、监事选举提案的，新任董事、监事在股东大会决议作出后就任。</w:t>
      </w:r>
    </w:p>
    <w:p w14:paraId="15232987">
      <w:pPr>
        <w:tabs>
          <w:tab w:val="left" w:pos="1890"/>
          <w:tab w:val="left" w:pos="2520"/>
          <w:tab w:val="left" w:pos="3150"/>
          <w:tab w:val="left" w:pos="3780"/>
        </w:tabs>
        <w:spacing w:line="360" w:lineRule="auto"/>
        <w:ind w:firstLine="482" w:firstLineChars="200"/>
        <w:rPr>
          <w:rFonts w:ascii="宋体" w:hAnsi="宋体" w:cs="Arial"/>
          <w:sz w:val="24"/>
          <w:szCs w:val="24"/>
        </w:rPr>
      </w:pPr>
      <w:r>
        <w:rPr>
          <w:rStyle w:val="51"/>
          <w:rFonts w:hint="eastAsia" w:ascii="宋体" w:hAnsi="宋体" w:cs="宋体"/>
          <w:b/>
          <w:bCs/>
          <w:sz w:val="24"/>
          <w:szCs w:val="24"/>
        </w:rPr>
        <w:t xml:space="preserve">第八十四条  </w:t>
      </w:r>
      <w:r>
        <w:rPr>
          <w:rFonts w:hint="eastAsia" w:ascii="宋体" w:hAnsi="宋体" w:cs="Arial"/>
          <w:sz w:val="24"/>
          <w:szCs w:val="24"/>
        </w:rPr>
        <w:t>股东大会通过有关派现、送股或资本公积转增股本提案的，公司将在股东大会结束后</w:t>
      </w:r>
      <w:r>
        <w:rPr>
          <w:rFonts w:ascii="宋体" w:hAnsi="宋体" w:cs="Arial"/>
          <w:sz w:val="24"/>
          <w:szCs w:val="24"/>
        </w:rPr>
        <w:t>2</w:t>
      </w:r>
      <w:r>
        <w:rPr>
          <w:rFonts w:hint="eastAsia" w:ascii="宋体" w:hAnsi="宋体" w:cs="Arial"/>
          <w:sz w:val="24"/>
          <w:szCs w:val="24"/>
        </w:rPr>
        <w:t>个月内实施具体方案。</w:t>
      </w:r>
    </w:p>
    <w:p w14:paraId="1BB6BFB3">
      <w:pPr>
        <w:pStyle w:val="2"/>
        <w:rPr>
          <w:rFonts w:ascii="宋体" w:hAnsi="宋体" w:cs="宋体"/>
          <w:sz w:val="28"/>
          <w:szCs w:val="28"/>
        </w:rPr>
      </w:pPr>
      <w:bookmarkStart w:id="68" w:name="_Toc425712709"/>
      <w:bookmarkStart w:id="69" w:name="_Toc314734398"/>
      <w:r>
        <w:rPr>
          <w:rFonts w:hint="eastAsia" w:ascii="宋体" w:hAnsi="宋体" w:cs="宋体"/>
          <w:sz w:val="28"/>
          <w:szCs w:val="28"/>
        </w:rPr>
        <w:t>第五章   董事会</w:t>
      </w:r>
      <w:bookmarkEnd w:id="68"/>
      <w:bookmarkEnd w:id="69"/>
    </w:p>
    <w:p w14:paraId="4868F59A">
      <w:pPr>
        <w:pStyle w:val="3"/>
        <w:rPr>
          <w:rFonts w:cs="宋体"/>
        </w:rPr>
      </w:pPr>
      <w:bookmarkStart w:id="70" w:name="_Toc425712710"/>
      <w:bookmarkStart w:id="71" w:name="_Toc314734399"/>
      <w:bookmarkStart w:id="72" w:name="_Toc287717022"/>
      <w:bookmarkStart w:id="73" w:name="_Toc215991594"/>
      <w:bookmarkStart w:id="74" w:name="_Toc137879467"/>
      <w:bookmarkStart w:id="75" w:name="_Toc262635800"/>
      <w:r>
        <w:rPr>
          <w:rFonts w:hint="eastAsia" w:cs="宋体"/>
        </w:rPr>
        <w:t>第一节  董事</w:t>
      </w:r>
      <w:bookmarkEnd w:id="70"/>
      <w:bookmarkEnd w:id="71"/>
      <w:bookmarkEnd w:id="72"/>
      <w:bookmarkEnd w:id="73"/>
      <w:bookmarkEnd w:id="74"/>
      <w:bookmarkEnd w:id="75"/>
    </w:p>
    <w:p w14:paraId="2010A7E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第八十五条  </w:t>
      </w:r>
      <w:r>
        <w:rPr>
          <w:rFonts w:hint="eastAsia" w:ascii="宋体" w:hAnsi="宋体" w:cs="宋体"/>
          <w:sz w:val="24"/>
          <w:szCs w:val="24"/>
        </w:rPr>
        <w:t>公司董事为自然人，董事应具备履行职务所必须的知识、技能和素质，并保证其有足够的时间和精力履行其应尽的职责。董事应积极参加有关培训，以了解作为董事的权利、义务和责任，熟悉有关法律法规，掌握作为董事应具备的相关知识。</w:t>
      </w:r>
    </w:p>
    <w:p w14:paraId="1C37BAF1">
      <w:pPr>
        <w:spacing w:line="360" w:lineRule="auto"/>
        <w:ind w:firstLine="480" w:firstLineChars="200"/>
        <w:rPr>
          <w:rFonts w:ascii="宋体" w:cs="Times New Roman"/>
          <w:sz w:val="24"/>
          <w:szCs w:val="24"/>
        </w:rPr>
      </w:pPr>
      <w:r>
        <w:rPr>
          <w:rFonts w:hint="eastAsia" w:ascii="宋体" w:hAnsi="宋体" w:cs="宋体"/>
          <w:sz w:val="24"/>
          <w:szCs w:val="24"/>
        </w:rPr>
        <w:t>有下列情形之一的，不能担任公司的董事：</w:t>
      </w:r>
    </w:p>
    <w:p w14:paraId="4B474C24">
      <w:pPr>
        <w:spacing w:line="360" w:lineRule="auto"/>
        <w:ind w:firstLine="480" w:firstLineChars="200"/>
        <w:rPr>
          <w:rFonts w:ascii="宋体" w:cs="Times New Roman"/>
          <w:sz w:val="24"/>
          <w:szCs w:val="24"/>
        </w:rPr>
      </w:pPr>
      <w:r>
        <w:rPr>
          <w:rFonts w:hint="eastAsia" w:ascii="宋体" w:hAnsi="宋体" w:cs="宋体"/>
          <w:sz w:val="24"/>
          <w:szCs w:val="24"/>
        </w:rPr>
        <w:t>（一）无民事行为能力或者限制民事行为能力；</w:t>
      </w:r>
    </w:p>
    <w:p w14:paraId="619822D1">
      <w:pPr>
        <w:spacing w:line="360" w:lineRule="auto"/>
        <w:ind w:firstLine="480" w:firstLineChars="200"/>
        <w:rPr>
          <w:rFonts w:ascii="宋体" w:cs="Times New Roman"/>
          <w:sz w:val="24"/>
          <w:szCs w:val="24"/>
        </w:rPr>
      </w:pPr>
      <w:r>
        <w:rPr>
          <w:rFonts w:hint="eastAsia" w:ascii="宋体" w:hAnsi="宋体" w:cs="宋体"/>
          <w:sz w:val="24"/>
          <w:szCs w:val="24"/>
        </w:rPr>
        <w:t>（二）因贪污、贿赂、侵占财产、挪用财产或者破坏社会主义市场经济秩序，被判处刑罚，执行期满未逾五年，或者因犯罪被剥夺政治权利，执行期满未逾五年；</w:t>
      </w:r>
    </w:p>
    <w:p w14:paraId="7BBDAAB1">
      <w:pPr>
        <w:spacing w:line="360" w:lineRule="auto"/>
        <w:ind w:firstLine="480" w:firstLineChars="200"/>
        <w:rPr>
          <w:rFonts w:ascii="宋体" w:cs="Times New Roman"/>
          <w:sz w:val="24"/>
          <w:szCs w:val="24"/>
        </w:rPr>
      </w:pPr>
      <w:r>
        <w:rPr>
          <w:rFonts w:hint="eastAsia" w:ascii="宋体" w:hAnsi="宋体" w:cs="宋体"/>
          <w:sz w:val="24"/>
          <w:szCs w:val="24"/>
        </w:rPr>
        <w:t>（三）担任破产清算的公司、企业的董事或者厂长、总经理，对该公司、企业的破产负有个人责任的，自该公司、企业破产清算完结之日起未逾三年；</w:t>
      </w:r>
    </w:p>
    <w:p w14:paraId="4AC2136B">
      <w:pPr>
        <w:spacing w:line="360" w:lineRule="auto"/>
        <w:ind w:firstLine="480" w:firstLineChars="200"/>
        <w:rPr>
          <w:rFonts w:ascii="宋体" w:cs="Times New Roman"/>
          <w:sz w:val="24"/>
          <w:szCs w:val="24"/>
        </w:rPr>
      </w:pPr>
      <w:r>
        <w:rPr>
          <w:rFonts w:hint="eastAsia" w:ascii="宋体" w:hAnsi="宋体" w:cs="宋体"/>
          <w:sz w:val="24"/>
          <w:szCs w:val="24"/>
        </w:rPr>
        <w:t>（四）担任因违法被吊销营业执照、责令关闭的公司、企业的法定代表人，并负有个人责任的，自该公司、企业被吊销营业执照之日起未逾三年；</w:t>
      </w:r>
    </w:p>
    <w:p w14:paraId="57F170DB">
      <w:pPr>
        <w:spacing w:line="360" w:lineRule="auto"/>
        <w:ind w:firstLine="480" w:firstLineChars="200"/>
        <w:rPr>
          <w:rFonts w:ascii="宋体" w:cs="Times New Roman"/>
          <w:sz w:val="24"/>
          <w:szCs w:val="24"/>
        </w:rPr>
      </w:pPr>
      <w:r>
        <w:rPr>
          <w:rFonts w:hint="eastAsia" w:ascii="宋体" w:hAnsi="宋体" w:cs="宋体"/>
          <w:sz w:val="24"/>
          <w:szCs w:val="24"/>
        </w:rPr>
        <w:t>（五）个人所负数额较大的债务到期未清偿；</w:t>
      </w:r>
    </w:p>
    <w:p w14:paraId="4CFB9C86">
      <w:pPr>
        <w:spacing w:line="360" w:lineRule="auto"/>
        <w:ind w:firstLine="480" w:firstLineChars="200"/>
        <w:rPr>
          <w:rFonts w:ascii="宋体" w:cs="Times New Roman"/>
          <w:sz w:val="24"/>
          <w:szCs w:val="24"/>
        </w:rPr>
      </w:pPr>
      <w:r>
        <w:rPr>
          <w:rFonts w:hint="eastAsia" w:ascii="宋体" w:hAnsi="宋体" w:cs="宋体"/>
          <w:sz w:val="24"/>
          <w:szCs w:val="24"/>
        </w:rPr>
        <w:t>（六）最近三年内受到中国证监会行政处罚；</w:t>
      </w:r>
    </w:p>
    <w:p w14:paraId="42E7295F">
      <w:pPr>
        <w:spacing w:line="360" w:lineRule="auto"/>
        <w:ind w:firstLine="480" w:firstLineChars="200"/>
        <w:rPr>
          <w:rFonts w:ascii="宋体" w:cs="Times New Roman"/>
          <w:sz w:val="24"/>
          <w:szCs w:val="24"/>
        </w:rPr>
      </w:pPr>
      <w:r>
        <w:rPr>
          <w:rFonts w:hint="eastAsia" w:ascii="宋体" w:hAnsi="宋体" w:cs="宋体"/>
          <w:sz w:val="24"/>
          <w:szCs w:val="24"/>
        </w:rPr>
        <w:t>（七）被中国证监会宣布为市场禁入者且尚在禁入期；</w:t>
      </w:r>
    </w:p>
    <w:p w14:paraId="65491455">
      <w:pPr>
        <w:spacing w:line="360" w:lineRule="auto"/>
        <w:ind w:firstLine="480" w:firstLineChars="200"/>
        <w:rPr>
          <w:rFonts w:ascii="宋体" w:cs="Times New Roman"/>
          <w:sz w:val="24"/>
          <w:szCs w:val="24"/>
        </w:rPr>
      </w:pPr>
      <w:r>
        <w:rPr>
          <w:rFonts w:hint="eastAsia" w:ascii="宋体" w:hAnsi="宋体" w:cs="宋体"/>
          <w:sz w:val="24"/>
          <w:szCs w:val="24"/>
        </w:rPr>
        <w:t>（八）因涉嫌犯罪被司法机关立案侦查或者涉嫌违法违规被中国证监会立案调查，尚未有明确结论意见；</w:t>
      </w:r>
    </w:p>
    <w:p w14:paraId="22CAAD17">
      <w:pPr>
        <w:spacing w:line="360" w:lineRule="auto"/>
        <w:ind w:firstLine="480" w:firstLineChars="200"/>
        <w:rPr>
          <w:rFonts w:ascii="宋体" w:cs="Times New Roman"/>
          <w:sz w:val="24"/>
          <w:szCs w:val="24"/>
        </w:rPr>
      </w:pPr>
      <w:r>
        <w:rPr>
          <w:rFonts w:hint="eastAsia" w:ascii="宋体" w:hAnsi="宋体" w:cs="宋体"/>
          <w:sz w:val="24"/>
          <w:szCs w:val="24"/>
        </w:rPr>
        <w:t>（九）无法确保在任职期间投入足够的时间和精力于公司事务，切实履行该职务应履行的各项职责；</w:t>
      </w:r>
    </w:p>
    <w:p w14:paraId="593BAB8B">
      <w:pPr>
        <w:spacing w:line="360" w:lineRule="auto"/>
        <w:ind w:firstLine="480" w:firstLineChars="200"/>
        <w:rPr>
          <w:rFonts w:ascii="宋体" w:cs="Times New Roman"/>
          <w:sz w:val="24"/>
          <w:szCs w:val="24"/>
        </w:rPr>
      </w:pPr>
      <w:r>
        <w:rPr>
          <w:rFonts w:hint="eastAsia" w:ascii="宋体" w:hAnsi="宋体" w:cs="宋体"/>
          <w:sz w:val="24"/>
          <w:szCs w:val="24"/>
        </w:rPr>
        <w:t>（十）法律、行政法规或部门规章规定的其他内容。</w:t>
      </w:r>
    </w:p>
    <w:p w14:paraId="718503B6">
      <w:pPr>
        <w:spacing w:line="360" w:lineRule="auto"/>
        <w:ind w:firstLine="480" w:firstLineChars="200"/>
        <w:rPr>
          <w:rFonts w:ascii="宋体" w:cs="Times New Roman"/>
          <w:sz w:val="24"/>
          <w:szCs w:val="24"/>
        </w:rPr>
      </w:pPr>
      <w:r>
        <w:rPr>
          <w:rFonts w:hint="eastAsia" w:ascii="宋体" w:hAnsi="宋体" w:cs="宋体"/>
          <w:sz w:val="24"/>
          <w:szCs w:val="24"/>
        </w:rPr>
        <w:t>违反本条规定选举、委派董事的，该选举、委派或者聘任无效。董事在任职期间出现本条情形的，公司解除其职务。</w:t>
      </w:r>
    </w:p>
    <w:p w14:paraId="6EB7A124">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第八十六条  </w:t>
      </w:r>
      <w:r>
        <w:rPr>
          <w:rFonts w:hint="eastAsia" w:ascii="宋体" w:hAnsi="宋体" w:cs="宋体"/>
          <w:sz w:val="24"/>
          <w:szCs w:val="24"/>
        </w:rPr>
        <w:t>董事由股东大会选举或更换，每届任期三年。董事任期届满，可连选连任。董事在任期届满以前，股东大会不得无故解除其职务。</w:t>
      </w:r>
    </w:p>
    <w:p w14:paraId="3264CDED">
      <w:pPr>
        <w:spacing w:line="360" w:lineRule="auto"/>
        <w:ind w:firstLine="480" w:firstLineChars="200"/>
        <w:rPr>
          <w:rFonts w:ascii="宋体" w:cs="Times New Roman"/>
          <w:sz w:val="24"/>
          <w:szCs w:val="24"/>
        </w:rPr>
      </w:pPr>
      <w:r>
        <w:rPr>
          <w:rFonts w:hint="eastAsia" w:ascii="宋体" w:hAnsi="宋体" w:cs="宋体"/>
          <w:sz w:val="24"/>
          <w:szCs w:val="24"/>
        </w:rPr>
        <w:t>董事任期从就任之日起计算，至本届董事会任期届满时为止。董事任期届满未及时改选，在改选出的董事就任前，原董事仍应当依照法律、行政法规、部门规章和本章程的规定，履行董事职务。</w:t>
      </w:r>
    </w:p>
    <w:p w14:paraId="4D5377E9">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第八十七条  </w:t>
      </w:r>
      <w:r>
        <w:rPr>
          <w:rFonts w:hint="eastAsia" w:ascii="宋体" w:hAnsi="宋体" w:cs="宋体"/>
          <w:sz w:val="24"/>
          <w:szCs w:val="24"/>
        </w:rPr>
        <w:t>董事应当遵守法律、行政法规和本章程，对公司负有下列忠实义务：</w:t>
      </w:r>
    </w:p>
    <w:p w14:paraId="5923FAAD">
      <w:pPr>
        <w:spacing w:line="360" w:lineRule="auto"/>
        <w:ind w:firstLine="480" w:firstLineChars="200"/>
        <w:rPr>
          <w:rFonts w:ascii="宋体" w:cs="Times New Roman"/>
          <w:sz w:val="24"/>
          <w:szCs w:val="24"/>
        </w:rPr>
      </w:pPr>
      <w:r>
        <w:rPr>
          <w:rFonts w:hint="eastAsia" w:ascii="宋体" w:hAnsi="宋体" w:cs="宋体"/>
          <w:sz w:val="24"/>
          <w:szCs w:val="24"/>
        </w:rPr>
        <w:t>（一）不得利用职权收受贿赂或者其他非法收入，不得侵占公司的财产；</w:t>
      </w:r>
    </w:p>
    <w:p w14:paraId="5670F8AB">
      <w:pPr>
        <w:spacing w:line="360" w:lineRule="auto"/>
        <w:ind w:firstLine="480" w:firstLineChars="200"/>
        <w:rPr>
          <w:rFonts w:ascii="宋体" w:cs="Times New Roman"/>
          <w:sz w:val="24"/>
          <w:szCs w:val="24"/>
        </w:rPr>
      </w:pPr>
      <w:r>
        <w:rPr>
          <w:rFonts w:hint="eastAsia" w:ascii="宋体" w:hAnsi="宋体" w:cs="宋体"/>
          <w:sz w:val="24"/>
          <w:szCs w:val="24"/>
        </w:rPr>
        <w:t>（二）不得挪用公司资金；</w:t>
      </w:r>
    </w:p>
    <w:p w14:paraId="6F5CB742">
      <w:pPr>
        <w:spacing w:line="360" w:lineRule="auto"/>
        <w:ind w:firstLine="480" w:firstLineChars="200"/>
        <w:rPr>
          <w:rFonts w:ascii="宋体" w:cs="Times New Roman"/>
          <w:sz w:val="24"/>
          <w:szCs w:val="24"/>
        </w:rPr>
      </w:pPr>
      <w:r>
        <w:rPr>
          <w:rFonts w:hint="eastAsia" w:ascii="宋体" w:hAnsi="宋体" w:cs="宋体"/>
          <w:sz w:val="24"/>
          <w:szCs w:val="24"/>
        </w:rPr>
        <w:t>（三）不得将公司资产或者资金以其个人名义或者其他个人名义开立账户存储；</w:t>
      </w:r>
    </w:p>
    <w:p w14:paraId="6C1362AE">
      <w:pPr>
        <w:spacing w:line="360" w:lineRule="auto"/>
        <w:ind w:firstLine="480" w:firstLineChars="200"/>
        <w:rPr>
          <w:rFonts w:ascii="宋体" w:cs="Times New Roman"/>
          <w:sz w:val="24"/>
          <w:szCs w:val="24"/>
        </w:rPr>
      </w:pPr>
      <w:r>
        <w:rPr>
          <w:rFonts w:hint="eastAsia" w:ascii="宋体" w:hAnsi="宋体" w:cs="宋体"/>
          <w:sz w:val="24"/>
          <w:szCs w:val="24"/>
        </w:rPr>
        <w:t>（四）不得违反本章程的规定，未经股东大会或董事会同意，将公司资金借贷给他人或者以公司财产为他人提供担保；</w:t>
      </w:r>
    </w:p>
    <w:p w14:paraId="2A7956BE">
      <w:pPr>
        <w:spacing w:line="360" w:lineRule="auto"/>
        <w:ind w:firstLine="480" w:firstLineChars="200"/>
        <w:rPr>
          <w:rFonts w:ascii="宋体" w:cs="Times New Roman"/>
          <w:sz w:val="24"/>
          <w:szCs w:val="24"/>
        </w:rPr>
      </w:pPr>
      <w:r>
        <w:rPr>
          <w:rFonts w:hint="eastAsia" w:ascii="宋体" w:hAnsi="宋体" w:cs="宋体"/>
          <w:sz w:val="24"/>
          <w:szCs w:val="24"/>
        </w:rPr>
        <w:t>（五）不得违反本章程的规定或未经股东大会同意，与本公司订立合同或者进行交易；</w:t>
      </w:r>
    </w:p>
    <w:p w14:paraId="1355A1EA">
      <w:pPr>
        <w:spacing w:line="360" w:lineRule="auto"/>
        <w:ind w:firstLine="480" w:firstLineChars="200"/>
        <w:rPr>
          <w:rFonts w:ascii="宋体" w:cs="Times New Roman"/>
          <w:sz w:val="24"/>
          <w:szCs w:val="24"/>
        </w:rPr>
      </w:pPr>
      <w:r>
        <w:rPr>
          <w:rFonts w:hint="eastAsia" w:ascii="宋体" w:hAnsi="宋体" w:cs="宋体"/>
          <w:sz w:val="24"/>
          <w:szCs w:val="24"/>
        </w:rPr>
        <w:t>（六）未经股东大会同意，不得利用职务便利，为自己或他人谋取本应属于公司的商业机会，自营或者为他人经营与本公司同类的业务；</w:t>
      </w:r>
    </w:p>
    <w:p w14:paraId="439B2ABE">
      <w:pPr>
        <w:spacing w:line="360" w:lineRule="auto"/>
        <w:ind w:firstLine="480" w:firstLineChars="200"/>
        <w:rPr>
          <w:rFonts w:ascii="宋体" w:cs="Times New Roman"/>
          <w:sz w:val="24"/>
          <w:szCs w:val="24"/>
        </w:rPr>
      </w:pPr>
      <w:r>
        <w:rPr>
          <w:rFonts w:hint="eastAsia" w:ascii="宋体" w:hAnsi="宋体" w:cs="宋体"/>
          <w:sz w:val="24"/>
          <w:szCs w:val="24"/>
        </w:rPr>
        <w:t>（七）不得接受与公司交易的佣金归为己有；</w:t>
      </w:r>
    </w:p>
    <w:p w14:paraId="0F8A5555">
      <w:pPr>
        <w:spacing w:line="360" w:lineRule="auto"/>
        <w:ind w:firstLine="480" w:firstLineChars="200"/>
        <w:rPr>
          <w:rFonts w:ascii="宋体" w:cs="Times New Roman"/>
          <w:sz w:val="24"/>
          <w:szCs w:val="24"/>
        </w:rPr>
      </w:pPr>
      <w:r>
        <w:rPr>
          <w:rFonts w:hint="eastAsia" w:ascii="宋体" w:hAnsi="宋体" w:cs="宋体"/>
          <w:sz w:val="24"/>
          <w:szCs w:val="24"/>
        </w:rPr>
        <w:t>（八）不得擅自披露公司秘密；</w:t>
      </w:r>
    </w:p>
    <w:p w14:paraId="01E7F568">
      <w:pPr>
        <w:spacing w:line="360" w:lineRule="auto"/>
        <w:ind w:firstLine="480" w:firstLineChars="200"/>
        <w:rPr>
          <w:rFonts w:ascii="宋体" w:cs="Times New Roman"/>
          <w:sz w:val="24"/>
          <w:szCs w:val="24"/>
        </w:rPr>
      </w:pPr>
      <w:r>
        <w:rPr>
          <w:rFonts w:hint="eastAsia" w:ascii="宋体" w:hAnsi="宋体" w:cs="宋体"/>
          <w:sz w:val="24"/>
          <w:szCs w:val="24"/>
        </w:rPr>
        <w:t>（九）不得利用其关联关系损害公司利益；</w:t>
      </w:r>
    </w:p>
    <w:p w14:paraId="740677C7">
      <w:pPr>
        <w:spacing w:line="360" w:lineRule="auto"/>
        <w:ind w:firstLine="480" w:firstLineChars="200"/>
        <w:rPr>
          <w:rFonts w:ascii="宋体" w:cs="Times New Roman"/>
          <w:sz w:val="24"/>
          <w:szCs w:val="24"/>
        </w:rPr>
      </w:pPr>
      <w:r>
        <w:rPr>
          <w:rFonts w:hint="eastAsia" w:ascii="宋体" w:hAnsi="宋体" w:cs="宋体"/>
          <w:sz w:val="24"/>
          <w:szCs w:val="24"/>
        </w:rPr>
        <w:t>（十）法律、行政法规、部门规章及本章程规定的其他忠实义务。</w:t>
      </w:r>
    </w:p>
    <w:p w14:paraId="68A4207D">
      <w:pPr>
        <w:spacing w:line="360" w:lineRule="auto"/>
        <w:ind w:firstLine="480" w:firstLineChars="200"/>
        <w:rPr>
          <w:rFonts w:ascii="宋体" w:cs="Times New Roman"/>
          <w:sz w:val="24"/>
          <w:szCs w:val="24"/>
        </w:rPr>
      </w:pPr>
      <w:r>
        <w:rPr>
          <w:rFonts w:hint="eastAsia" w:ascii="宋体" w:hAnsi="宋体" w:cs="宋体"/>
          <w:sz w:val="24"/>
          <w:szCs w:val="24"/>
        </w:rPr>
        <w:t>董事违反本条规定所得的收入，应当归公司所有；给公司造成损失的，应当承担赔偿责任。</w:t>
      </w:r>
    </w:p>
    <w:p w14:paraId="4823699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第八十八条  </w:t>
      </w:r>
      <w:r>
        <w:rPr>
          <w:rFonts w:hint="eastAsia" w:ascii="宋体" w:hAnsi="宋体" w:cs="宋体"/>
          <w:sz w:val="24"/>
          <w:szCs w:val="24"/>
        </w:rPr>
        <w:t>董事应当遵守法律、行政法规和本章程，对公司负有下列勤勉义务：</w:t>
      </w:r>
    </w:p>
    <w:p w14:paraId="15167914">
      <w:pPr>
        <w:spacing w:line="360" w:lineRule="auto"/>
        <w:ind w:firstLine="480" w:firstLineChars="200"/>
        <w:rPr>
          <w:rFonts w:ascii="宋体" w:cs="Times New Roman"/>
          <w:sz w:val="24"/>
          <w:szCs w:val="24"/>
        </w:rPr>
      </w:pPr>
      <w:r>
        <w:rPr>
          <w:rFonts w:hint="eastAsia" w:ascii="宋体" w:hAnsi="宋体" w:cs="宋体"/>
          <w:sz w:val="24"/>
          <w:szCs w:val="24"/>
        </w:rPr>
        <w:t>（一）应谨慎、认真、勤勉地行使公司赋予的权利，以保证公司的商业行为符合国家法律、行政法规以及国家各项经济政策的要求，商业活动不超过营业执照规定的业务范围；</w:t>
      </w:r>
    </w:p>
    <w:p w14:paraId="094E3246">
      <w:pPr>
        <w:spacing w:line="360" w:lineRule="auto"/>
        <w:ind w:firstLine="480" w:firstLineChars="200"/>
        <w:rPr>
          <w:rFonts w:ascii="宋体" w:cs="Times New Roman"/>
          <w:sz w:val="24"/>
          <w:szCs w:val="24"/>
        </w:rPr>
      </w:pPr>
      <w:r>
        <w:rPr>
          <w:rFonts w:hint="eastAsia" w:ascii="宋体" w:hAnsi="宋体" w:cs="宋体"/>
          <w:sz w:val="24"/>
          <w:szCs w:val="24"/>
        </w:rPr>
        <w:t>（二）应公平对待所有股东；</w:t>
      </w:r>
    </w:p>
    <w:p w14:paraId="7CC5866A">
      <w:pPr>
        <w:spacing w:line="360" w:lineRule="auto"/>
        <w:ind w:firstLine="480" w:firstLineChars="200"/>
        <w:rPr>
          <w:rFonts w:ascii="宋体" w:cs="Times New Roman"/>
          <w:sz w:val="24"/>
          <w:szCs w:val="24"/>
        </w:rPr>
      </w:pPr>
      <w:r>
        <w:rPr>
          <w:rFonts w:hint="eastAsia" w:ascii="宋体" w:hAnsi="宋体" w:cs="宋体"/>
          <w:sz w:val="24"/>
          <w:szCs w:val="24"/>
        </w:rPr>
        <w:t>（三）及时了解公司业务经营管理状况；</w:t>
      </w:r>
    </w:p>
    <w:p w14:paraId="0D54B54F">
      <w:pPr>
        <w:spacing w:line="360" w:lineRule="auto"/>
        <w:ind w:firstLine="480" w:firstLineChars="200"/>
        <w:rPr>
          <w:rFonts w:ascii="宋体" w:cs="Times New Roman"/>
          <w:sz w:val="24"/>
          <w:szCs w:val="24"/>
        </w:rPr>
      </w:pPr>
      <w:r>
        <w:rPr>
          <w:rFonts w:hint="eastAsia" w:ascii="宋体" w:hAnsi="宋体" w:cs="宋体"/>
          <w:sz w:val="24"/>
          <w:szCs w:val="24"/>
        </w:rPr>
        <w:t>（四）应当对公司定期报告签署书面确认意见</w:t>
      </w:r>
      <w:r>
        <w:rPr>
          <w:rFonts w:ascii="宋体" w:cs="宋体"/>
          <w:sz w:val="24"/>
          <w:szCs w:val="24"/>
        </w:rPr>
        <w:t>,</w:t>
      </w:r>
      <w:r>
        <w:rPr>
          <w:rFonts w:hint="eastAsia" w:ascii="宋体" w:hAnsi="宋体" w:cs="宋体"/>
          <w:sz w:val="24"/>
          <w:szCs w:val="24"/>
        </w:rPr>
        <w:t>保证公司所披露的信息真实、准确、完整；</w:t>
      </w:r>
    </w:p>
    <w:p w14:paraId="337D55B8">
      <w:pPr>
        <w:spacing w:line="360" w:lineRule="auto"/>
        <w:ind w:firstLine="480" w:firstLineChars="200"/>
        <w:rPr>
          <w:rFonts w:ascii="宋体" w:cs="Times New Roman"/>
          <w:sz w:val="24"/>
          <w:szCs w:val="24"/>
        </w:rPr>
      </w:pPr>
      <w:r>
        <w:rPr>
          <w:rFonts w:hint="eastAsia" w:ascii="宋体" w:hAnsi="宋体" w:cs="宋体"/>
          <w:sz w:val="24"/>
          <w:szCs w:val="24"/>
        </w:rPr>
        <w:t>（五）应当如实向监事会提供有关情况和资料，不得妨碍监事会或者监事行使职权；</w:t>
      </w:r>
    </w:p>
    <w:p w14:paraId="475996AC">
      <w:pPr>
        <w:spacing w:line="360" w:lineRule="auto"/>
        <w:ind w:firstLine="480" w:firstLineChars="200"/>
        <w:rPr>
          <w:rFonts w:ascii="宋体" w:cs="Times New Roman"/>
          <w:sz w:val="24"/>
          <w:szCs w:val="24"/>
        </w:rPr>
      </w:pPr>
      <w:r>
        <w:rPr>
          <w:rFonts w:hint="eastAsia" w:ascii="宋体" w:hAnsi="宋体" w:cs="宋体"/>
          <w:sz w:val="24"/>
          <w:szCs w:val="24"/>
        </w:rPr>
        <w:t>（六）法律、行政法规、部门规章及本章程规定的其他勤勉义务。</w:t>
      </w:r>
    </w:p>
    <w:p w14:paraId="51E7E31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第八十九条  </w:t>
      </w:r>
      <w:r>
        <w:rPr>
          <w:rFonts w:hint="eastAsia" w:ascii="宋体" w:hAnsi="宋体" w:cs="宋体"/>
          <w:sz w:val="24"/>
          <w:szCs w:val="24"/>
        </w:rPr>
        <w:t>董事连续两次未能亲自出席，也不委托其他董事出席董事会会议，视为不能履行职责，董事会应当建议股东大会予以撤换。</w:t>
      </w:r>
    </w:p>
    <w:p w14:paraId="43F6A882">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第九十条  </w:t>
      </w:r>
      <w:r>
        <w:rPr>
          <w:rFonts w:hint="eastAsia" w:ascii="宋体" w:hAnsi="宋体" w:cs="宋体"/>
          <w:sz w:val="24"/>
          <w:szCs w:val="24"/>
        </w:rPr>
        <w:t>董事可以在任期届满前提出辞职。董事辞职应当向董事会提交书面辞职报告。董事会将在</w:t>
      </w:r>
      <w:r>
        <w:rPr>
          <w:rFonts w:ascii="宋体" w:hAnsi="宋体" w:cs="宋体"/>
          <w:sz w:val="24"/>
          <w:szCs w:val="24"/>
        </w:rPr>
        <w:t>2</w:t>
      </w:r>
      <w:r>
        <w:rPr>
          <w:rFonts w:hint="eastAsia" w:ascii="宋体" w:hAnsi="宋体" w:cs="宋体"/>
          <w:sz w:val="24"/>
          <w:szCs w:val="24"/>
        </w:rPr>
        <w:t>日内向股东披露有关情况。</w:t>
      </w:r>
    </w:p>
    <w:p w14:paraId="4D9E7EC5">
      <w:pPr>
        <w:spacing w:line="360" w:lineRule="auto"/>
        <w:ind w:firstLine="480" w:firstLineChars="200"/>
        <w:rPr>
          <w:rFonts w:ascii="宋体" w:cs="Times New Roman"/>
          <w:sz w:val="24"/>
          <w:szCs w:val="24"/>
        </w:rPr>
      </w:pPr>
      <w:r>
        <w:rPr>
          <w:rFonts w:hint="eastAsia" w:ascii="宋体" w:hAnsi="宋体" w:cs="宋体"/>
          <w:sz w:val="24"/>
          <w:szCs w:val="24"/>
        </w:rPr>
        <w:t>如因董事的辞职导致公司董事会低于法定最低人数时，在改选出的董事就任前，原董事仍应当依照法律、行政法规、部门规章和本章程规定，履行董事职务。</w:t>
      </w:r>
    </w:p>
    <w:p w14:paraId="6413C1A3">
      <w:pPr>
        <w:spacing w:line="360" w:lineRule="auto"/>
        <w:ind w:firstLine="480" w:firstLineChars="200"/>
        <w:rPr>
          <w:rFonts w:ascii="宋体" w:cs="Times New Roman"/>
          <w:sz w:val="24"/>
          <w:szCs w:val="24"/>
        </w:rPr>
      </w:pPr>
      <w:r>
        <w:rPr>
          <w:rFonts w:hint="eastAsia" w:ascii="宋体" w:hAnsi="宋体" w:cs="宋体"/>
          <w:sz w:val="24"/>
          <w:szCs w:val="24"/>
        </w:rPr>
        <w:t>除前款所列情形外，董事辞职自辞职报告送达董事会时生效。</w:t>
      </w:r>
    </w:p>
    <w:p w14:paraId="59D83DBE">
      <w:pPr>
        <w:tabs>
          <w:tab w:val="left" w:pos="1890"/>
          <w:tab w:val="left" w:pos="2520"/>
          <w:tab w:val="left" w:pos="3150"/>
          <w:tab w:val="left" w:pos="3780"/>
        </w:tabs>
        <w:spacing w:line="360" w:lineRule="auto"/>
        <w:ind w:firstLine="472" w:firstLineChars="196"/>
        <w:rPr>
          <w:rFonts w:ascii="宋体" w:hAnsi="宋体" w:cs="Arial"/>
          <w:sz w:val="24"/>
          <w:szCs w:val="24"/>
        </w:rPr>
      </w:pPr>
      <w:r>
        <w:rPr>
          <w:rFonts w:hint="eastAsia" w:ascii="宋体" w:hAnsi="宋体" w:cs="宋体"/>
          <w:b/>
          <w:bCs/>
          <w:sz w:val="24"/>
          <w:szCs w:val="24"/>
        </w:rPr>
        <w:t xml:space="preserve">第九十一条  </w:t>
      </w:r>
      <w:r>
        <w:rPr>
          <w:rFonts w:hint="eastAsia" w:ascii="宋体" w:hAnsi="宋体" w:cs="Arial"/>
          <w:sz w:val="24"/>
          <w:szCs w:val="24"/>
        </w:rPr>
        <w:t>董事辞职生效或者任期届满，应向董事会办妥所有移交手续，其对公司和股东承担的忠实义务，在任期结束后并不当然解除，在</w:t>
      </w:r>
      <w:r>
        <w:rPr>
          <w:rFonts w:ascii="宋体" w:hAnsi="宋体" w:cs="Arial"/>
          <w:sz w:val="24"/>
          <w:szCs w:val="24"/>
        </w:rPr>
        <w:t>1</w:t>
      </w:r>
      <w:r>
        <w:rPr>
          <w:rFonts w:hint="eastAsia" w:ascii="宋体" w:hAnsi="宋体" w:cs="Arial"/>
          <w:sz w:val="24"/>
          <w:szCs w:val="24"/>
        </w:rPr>
        <w:t>年内仍然有效。</w:t>
      </w:r>
    </w:p>
    <w:p w14:paraId="0542C969">
      <w:pPr>
        <w:spacing w:line="360" w:lineRule="auto"/>
        <w:ind w:firstLine="480" w:firstLineChars="200"/>
        <w:rPr>
          <w:rFonts w:ascii="宋体" w:cs="Arial"/>
          <w:sz w:val="24"/>
          <w:szCs w:val="24"/>
        </w:rPr>
      </w:pPr>
      <w:r>
        <w:rPr>
          <w:rFonts w:hint="eastAsia" w:ascii="宋体" w:hAnsi="宋体" w:cs="Arial"/>
          <w:sz w:val="24"/>
          <w:szCs w:val="24"/>
        </w:rPr>
        <w:t>任期尚未结束的董事，对因其擅自离职给公司造成的损失，应当承担赔偿责任。</w:t>
      </w:r>
    </w:p>
    <w:p w14:paraId="343CD9F0">
      <w:pPr>
        <w:spacing w:line="360" w:lineRule="auto"/>
        <w:ind w:firstLine="480" w:firstLineChars="200"/>
        <w:rPr>
          <w:rFonts w:ascii="宋体" w:cs="Times New Roman"/>
          <w:sz w:val="24"/>
          <w:szCs w:val="24"/>
        </w:rPr>
      </w:pPr>
      <w:r>
        <w:rPr>
          <w:rFonts w:hint="eastAsia" w:ascii="宋体" w:hAnsi="宋体" w:cs="Arial"/>
          <w:sz w:val="24"/>
          <w:szCs w:val="24"/>
        </w:rPr>
        <w:t>董事对公司商业秘密保密的义务在其任期结束后仍然有效，直至该秘密成为公开信息：其他义务的持续期间应当根据公平的原则决定，视事件发生与离任之间时间的长短，以及与公司的关系在何种情况和条件下结束而定。</w:t>
      </w:r>
    </w:p>
    <w:p w14:paraId="5AC405E2">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第九十二条  </w:t>
      </w:r>
      <w:r>
        <w:rPr>
          <w:rFonts w:hint="eastAsia" w:ascii="宋体" w:hAnsi="宋体" w:cs="宋体"/>
          <w:sz w:val="24"/>
          <w:szCs w:val="24"/>
        </w:rPr>
        <w:t>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0F68F53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第九十三条  </w:t>
      </w:r>
      <w:r>
        <w:rPr>
          <w:rFonts w:hint="eastAsia" w:ascii="宋体" w:hAnsi="宋体" w:cs="宋体"/>
          <w:sz w:val="24"/>
          <w:szCs w:val="24"/>
        </w:rPr>
        <w:t>董事执行公司职务时违反法律、行政法规、部门规章或本章程的规定，给公司造成损失的，应当承担赔偿责任。</w:t>
      </w:r>
      <w:bookmarkStart w:id="76" w:name="_Toc262635801"/>
      <w:bookmarkStart w:id="77" w:name="_Toc137879468"/>
      <w:bookmarkStart w:id="78" w:name="_Toc215991595"/>
      <w:bookmarkStart w:id="79" w:name="_Toc287717023"/>
    </w:p>
    <w:p w14:paraId="01AD101C">
      <w:pPr>
        <w:pStyle w:val="3"/>
        <w:rPr>
          <w:rFonts w:cs="宋体"/>
        </w:rPr>
      </w:pPr>
      <w:bookmarkStart w:id="80" w:name="_Toc314734400"/>
      <w:bookmarkStart w:id="81" w:name="_Toc425712711"/>
      <w:r>
        <w:rPr>
          <w:rFonts w:hint="eastAsia" w:cs="宋体"/>
        </w:rPr>
        <w:t>第二节  董事会</w:t>
      </w:r>
      <w:bookmarkEnd w:id="76"/>
      <w:bookmarkEnd w:id="77"/>
      <w:bookmarkEnd w:id="78"/>
      <w:bookmarkEnd w:id="79"/>
      <w:bookmarkEnd w:id="80"/>
      <w:bookmarkEnd w:id="81"/>
    </w:p>
    <w:p w14:paraId="5E77F6DD">
      <w:pPr>
        <w:spacing w:line="360" w:lineRule="auto"/>
        <w:ind w:firstLine="354" w:firstLineChars="147"/>
        <w:rPr>
          <w:rFonts w:ascii="宋体" w:cs="Times New Roman"/>
          <w:sz w:val="24"/>
          <w:szCs w:val="24"/>
        </w:rPr>
      </w:pPr>
      <w:r>
        <w:rPr>
          <w:rFonts w:hint="eastAsia" w:ascii="宋体" w:hAnsi="宋体" w:cs="宋体"/>
          <w:b/>
          <w:bCs/>
          <w:sz w:val="24"/>
          <w:szCs w:val="24"/>
        </w:rPr>
        <w:t xml:space="preserve">第九十四条  </w:t>
      </w:r>
      <w:r>
        <w:rPr>
          <w:rFonts w:hint="eastAsia" w:ascii="宋体" w:hAnsi="宋体" w:cs="宋体"/>
          <w:sz w:val="24"/>
          <w:szCs w:val="24"/>
        </w:rPr>
        <w:t>公司依法设立董事会，对股东大会负责。</w:t>
      </w:r>
    </w:p>
    <w:p w14:paraId="384E2EE1">
      <w:pPr>
        <w:spacing w:line="360" w:lineRule="auto"/>
        <w:ind w:left="-105" w:leftChars="-50" w:firstLine="482" w:firstLineChars="200"/>
        <w:rPr>
          <w:rFonts w:ascii="宋体" w:cs="Times New Roman"/>
          <w:sz w:val="24"/>
          <w:szCs w:val="24"/>
        </w:rPr>
      </w:pPr>
      <w:r>
        <w:rPr>
          <w:rFonts w:hint="eastAsia" w:ascii="宋体" w:hAnsi="宋体" w:cs="宋体"/>
          <w:b/>
          <w:bCs/>
          <w:sz w:val="24"/>
          <w:szCs w:val="24"/>
        </w:rPr>
        <w:t>第九十五条</w:t>
      </w:r>
      <w:r>
        <w:rPr>
          <w:rFonts w:hint="eastAsia" w:ascii="宋体" w:hAnsi="宋体" w:cs="宋体"/>
          <w:kern w:val="0"/>
          <w:sz w:val="24"/>
          <w:szCs w:val="24"/>
        </w:rPr>
        <w:t>董事会由</w:t>
      </w:r>
      <w:r>
        <w:rPr>
          <w:rFonts w:ascii="宋体" w:hAnsi="宋体" w:cs="宋体"/>
          <w:kern w:val="0"/>
          <w:sz w:val="24"/>
          <w:szCs w:val="24"/>
        </w:rPr>
        <w:t>【】</w:t>
      </w:r>
      <w:r>
        <w:rPr>
          <w:rFonts w:hint="eastAsia" w:ascii="宋体" w:hAnsi="宋体" w:cs="宋体"/>
          <w:kern w:val="0"/>
          <w:sz w:val="24"/>
          <w:szCs w:val="24"/>
        </w:rPr>
        <w:t>名董事组成，</w:t>
      </w:r>
      <w:r>
        <w:rPr>
          <w:rFonts w:hint="eastAsia" w:ascii="宋体" w:hAnsi="宋体" w:cs="宋体"/>
          <w:sz w:val="24"/>
          <w:szCs w:val="24"/>
        </w:rPr>
        <w:t>由股东大会选举产生。</w:t>
      </w:r>
    </w:p>
    <w:p w14:paraId="028AD7CC">
      <w:pPr>
        <w:spacing w:line="360" w:lineRule="auto"/>
        <w:ind w:firstLine="361" w:firstLineChars="150"/>
        <w:rPr>
          <w:rFonts w:ascii="宋体" w:cs="Times New Roman"/>
          <w:sz w:val="24"/>
          <w:szCs w:val="24"/>
        </w:rPr>
      </w:pPr>
      <w:r>
        <w:rPr>
          <w:rFonts w:hint="eastAsia" w:ascii="宋体" w:hAnsi="宋体" w:cs="宋体"/>
          <w:b/>
          <w:bCs/>
          <w:sz w:val="24"/>
          <w:szCs w:val="24"/>
        </w:rPr>
        <w:t xml:space="preserve">第九十六条  </w:t>
      </w:r>
      <w:r>
        <w:rPr>
          <w:rFonts w:hint="eastAsia" w:ascii="宋体" w:hAnsi="宋体" w:cs="宋体"/>
          <w:sz w:val="24"/>
          <w:szCs w:val="24"/>
        </w:rPr>
        <w:t>董事会行使下列职权：</w:t>
      </w:r>
    </w:p>
    <w:p w14:paraId="0CE715EF">
      <w:pPr>
        <w:spacing w:line="360" w:lineRule="auto"/>
        <w:ind w:firstLine="480" w:firstLineChars="200"/>
        <w:rPr>
          <w:rFonts w:ascii="宋体" w:cs="Times New Roman"/>
          <w:sz w:val="24"/>
          <w:szCs w:val="24"/>
        </w:rPr>
      </w:pPr>
      <w:r>
        <w:rPr>
          <w:rFonts w:hint="eastAsia" w:ascii="宋体" w:hAnsi="宋体" w:cs="宋体"/>
          <w:sz w:val="24"/>
          <w:szCs w:val="24"/>
        </w:rPr>
        <w:t>（一）负责召集股东大会，并向股东大会报告工作；</w:t>
      </w:r>
    </w:p>
    <w:p w14:paraId="472D72A6">
      <w:pPr>
        <w:spacing w:line="360" w:lineRule="auto"/>
        <w:ind w:firstLine="480" w:firstLineChars="200"/>
        <w:rPr>
          <w:rFonts w:ascii="宋体" w:cs="Times New Roman"/>
          <w:sz w:val="24"/>
          <w:szCs w:val="24"/>
        </w:rPr>
      </w:pPr>
      <w:r>
        <w:rPr>
          <w:rFonts w:hint="eastAsia" w:ascii="宋体" w:hAnsi="宋体" w:cs="宋体"/>
          <w:sz w:val="24"/>
          <w:szCs w:val="24"/>
        </w:rPr>
        <w:t>（二）执行股东大会的决议；</w:t>
      </w:r>
    </w:p>
    <w:p w14:paraId="21DB24C6">
      <w:pPr>
        <w:spacing w:line="360" w:lineRule="auto"/>
        <w:ind w:firstLine="480" w:firstLineChars="200"/>
        <w:rPr>
          <w:rFonts w:ascii="宋体" w:cs="Times New Roman"/>
          <w:sz w:val="24"/>
          <w:szCs w:val="24"/>
        </w:rPr>
      </w:pPr>
      <w:r>
        <w:rPr>
          <w:rFonts w:hint="eastAsia" w:ascii="宋体" w:hAnsi="宋体" w:cs="宋体"/>
          <w:sz w:val="24"/>
          <w:szCs w:val="24"/>
        </w:rPr>
        <w:t>（三）决定公司的经营计划和投资方案；</w:t>
      </w:r>
    </w:p>
    <w:p w14:paraId="618F22E9">
      <w:pPr>
        <w:spacing w:line="360" w:lineRule="auto"/>
        <w:ind w:firstLine="480" w:firstLineChars="200"/>
        <w:rPr>
          <w:rFonts w:ascii="宋体" w:cs="Times New Roman"/>
          <w:sz w:val="24"/>
          <w:szCs w:val="24"/>
        </w:rPr>
      </w:pPr>
      <w:r>
        <w:rPr>
          <w:rFonts w:hint="eastAsia" w:ascii="宋体" w:hAnsi="宋体" w:cs="宋体"/>
          <w:sz w:val="24"/>
          <w:szCs w:val="24"/>
        </w:rPr>
        <w:t>（四）制订公司的年度财务预算方案、决算方案；</w:t>
      </w:r>
    </w:p>
    <w:p w14:paraId="7602DEE5">
      <w:pPr>
        <w:spacing w:line="360" w:lineRule="auto"/>
        <w:ind w:firstLine="480" w:firstLineChars="200"/>
        <w:rPr>
          <w:rFonts w:ascii="宋体" w:cs="Times New Roman"/>
          <w:sz w:val="24"/>
          <w:szCs w:val="24"/>
        </w:rPr>
      </w:pPr>
      <w:r>
        <w:rPr>
          <w:rFonts w:hint="eastAsia" w:ascii="宋体" w:hAnsi="宋体" w:cs="宋体"/>
          <w:sz w:val="24"/>
          <w:szCs w:val="24"/>
        </w:rPr>
        <w:t>（五）制订公司的利润分配方案和弥补亏损方案；</w:t>
      </w:r>
    </w:p>
    <w:p w14:paraId="1D0A6382">
      <w:pPr>
        <w:spacing w:line="360" w:lineRule="auto"/>
        <w:ind w:firstLine="480" w:firstLineChars="200"/>
        <w:rPr>
          <w:rFonts w:ascii="宋体" w:cs="Times New Roman"/>
          <w:sz w:val="24"/>
          <w:szCs w:val="24"/>
        </w:rPr>
      </w:pPr>
      <w:r>
        <w:rPr>
          <w:rFonts w:hint="eastAsia" w:ascii="宋体" w:hAnsi="宋体" w:cs="宋体"/>
          <w:sz w:val="24"/>
          <w:szCs w:val="24"/>
        </w:rPr>
        <w:t>（六）制订公司增加或减少注册资本、发行股票、债券或其他证券及上市方案；</w:t>
      </w:r>
    </w:p>
    <w:p w14:paraId="4073BD9D">
      <w:pPr>
        <w:spacing w:line="360" w:lineRule="auto"/>
        <w:ind w:firstLine="480" w:firstLineChars="200"/>
        <w:rPr>
          <w:rFonts w:ascii="宋体" w:cs="Times New Roman"/>
          <w:sz w:val="24"/>
          <w:szCs w:val="24"/>
        </w:rPr>
      </w:pPr>
      <w:r>
        <w:rPr>
          <w:rFonts w:hint="eastAsia" w:ascii="宋体" w:hAnsi="宋体" w:cs="宋体"/>
          <w:sz w:val="24"/>
          <w:szCs w:val="24"/>
        </w:rPr>
        <w:t>（七）拟订公司重大收购、收购本公司股票或者合并、分立、解散及变更公司形式的方案；</w:t>
      </w:r>
    </w:p>
    <w:p w14:paraId="5DA0A803">
      <w:pPr>
        <w:spacing w:line="360" w:lineRule="auto"/>
        <w:ind w:firstLine="480" w:firstLineChars="200"/>
        <w:rPr>
          <w:rFonts w:ascii="宋体" w:cs="Times New Roman"/>
          <w:sz w:val="24"/>
          <w:szCs w:val="24"/>
        </w:rPr>
      </w:pPr>
      <w:r>
        <w:rPr>
          <w:rFonts w:hint="eastAsia" w:ascii="宋体" w:hAnsi="宋体" w:cs="宋体"/>
          <w:sz w:val="24"/>
          <w:szCs w:val="24"/>
        </w:rPr>
        <w:t>（八）在股东大会授权范围内，决定公司对外投资、收购出售资产、资产抵押、对外担保事项、委托理财、关联交易等事项；</w:t>
      </w:r>
    </w:p>
    <w:p w14:paraId="3CFC86C6">
      <w:pPr>
        <w:spacing w:line="360" w:lineRule="auto"/>
        <w:ind w:firstLine="480" w:firstLineChars="200"/>
        <w:rPr>
          <w:rFonts w:ascii="宋体" w:cs="Times New Roman"/>
          <w:sz w:val="24"/>
          <w:szCs w:val="24"/>
        </w:rPr>
      </w:pPr>
      <w:r>
        <w:rPr>
          <w:rFonts w:hint="eastAsia" w:ascii="宋体" w:hAnsi="宋体" w:cs="宋体"/>
          <w:sz w:val="24"/>
          <w:szCs w:val="24"/>
        </w:rPr>
        <w:t>（九）决定公司内部管理机构的设置；</w:t>
      </w:r>
    </w:p>
    <w:p w14:paraId="1BAEF3D4">
      <w:pPr>
        <w:spacing w:line="360" w:lineRule="auto"/>
        <w:ind w:firstLine="480" w:firstLineChars="200"/>
        <w:rPr>
          <w:rFonts w:ascii="宋体" w:cs="Times New Roman"/>
          <w:sz w:val="24"/>
          <w:szCs w:val="24"/>
        </w:rPr>
      </w:pPr>
      <w:r>
        <w:rPr>
          <w:rFonts w:hint="eastAsia" w:ascii="宋体" w:hAnsi="宋体" w:cs="宋体"/>
          <w:sz w:val="24"/>
          <w:szCs w:val="24"/>
        </w:rPr>
        <w:t>（十）聘任或者解聘公司总经理、董事会秘书，根据总经理的提名，聘任或者解聘公司副总经理、主管财务的负责人等其他高级管理人员，并决定其报酬事项和奖惩事项；拟订并向股东大会提交有关董事报酬的数额及方式的方案；</w:t>
      </w:r>
    </w:p>
    <w:p w14:paraId="22022F56">
      <w:pPr>
        <w:spacing w:line="360" w:lineRule="auto"/>
        <w:ind w:firstLine="480" w:firstLineChars="200"/>
        <w:rPr>
          <w:rFonts w:ascii="宋体" w:cs="Times New Roman"/>
          <w:sz w:val="24"/>
          <w:szCs w:val="24"/>
        </w:rPr>
      </w:pPr>
      <w:r>
        <w:rPr>
          <w:rFonts w:hint="eastAsia" w:ascii="宋体" w:hAnsi="宋体" w:cs="宋体"/>
          <w:sz w:val="24"/>
          <w:szCs w:val="24"/>
        </w:rPr>
        <w:t>（十一）制订公司的基本管理制度；</w:t>
      </w:r>
    </w:p>
    <w:p w14:paraId="119DFEA1">
      <w:pPr>
        <w:spacing w:line="360" w:lineRule="auto"/>
        <w:ind w:firstLine="480" w:firstLineChars="200"/>
        <w:rPr>
          <w:rFonts w:ascii="宋体" w:cs="Times New Roman"/>
          <w:sz w:val="24"/>
          <w:szCs w:val="24"/>
        </w:rPr>
      </w:pPr>
      <w:r>
        <w:rPr>
          <w:rFonts w:hint="eastAsia" w:ascii="宋体" w:hAnsi="宋体" w:cs="宋体"/>
          <w:sz w:val="24"/>
          <w:szCs w:val="24"/>
        </w:rPr>
        <w:t>（十二）制订公司章程的修改方案；</w:t>
      </w:r>
    </w:p>
    <w:p w14:paraId="7A4689A4">
      <w:pPr>
        <w:spacing w:line="360" w:lineRule="auto"/>
        <w:ind w:firstLine="480" w:firstLineChars="200"/>
        <w:rPr>
          <w:rFonts w:ascii="宋体" w:cs="Times New Roman"/>
          <w:sz w:val="24"/>
          <w:szCs w:val="24"/>
        </w:rPr>
      </w:pPr>
      <w:r>
        <w:rPr>
          <w:rFonts w:hint="eastAsia" w:ascii="宋体" w:hAnsi="宋体" w:cs="宋体"/>
          <w:sz w:val="24"/>
          <w:szCs w:val="24"/>
        </w:rPr>
        <w:t>（十三）向股东大会提请聘请或更换为公司审计的会计师事务所；</w:t>
      </w:r>
    </w:p>
    <w:p w14:paraId="16254E04">
      <w:pPr>
        <w:spacing w:line="360" w:lineRule="auto"/>
        <w:ind w:firstLine="480" w:firstLineChars="200"/>
        <w:rPr>
          <w:rFonts w:ascii="宋体" w:cs="宋体"/>
          <w:sz w:val="24"/>
          <w:szCs w:val="24"/>
        </w:rPr>
      </w:pPr>
      <w:r>
        <w:rPr>
          <w:rFonts w:hint="eastAsia" w:ascii="宋体" w:hAnsi="宋体" w:cs="宋体"/>
          <w:sz w:val="24"/>
          <w:szCs w:val="24"/>
        </w:rPr>
        <w:t>（十四）听取公司总经理的工作汇报并检查总经理的工作；</w:t>
      </w:r>
    </w:p>
    <w:p w14:paraId="55F28ED9">
      <w:pPr>
        <w:spacing w:line="360" w:lineRule="auto"/>
        <w:ind w:firstLine="480" w:firstLineChars="200"/>
        <w:rPr>
          <w:rFonts w:ascii="宋体" w:cs="宋体"/>
          <w:sz w:val="24"/>
          <w:szCs w:val="24"/>
        </w:rPr>
      </w:pPr>
      <w:r>
        <w:rPr>
          <w:rFonts w:hint="eastAsia" w:ascii="宋体" w:hAnsi="宋体" w:cs="宋体"/>
          <w:sz w:val="24"/>
          <w:szCs w:val="24"/>
        </w:rPr>
        <w:t>（十五）</w:t>
      </w:r>
      <w:r>
        <w:rPr>
          <w:rFonts w:hint="eastAsia" w:ascii="宋体" w:hAnsi="宋体" w:cs="Arial"/>
          <w:sz w:val="24"/>
          <w:szCs w:val="24"/>
        </w:rPr>
        <w:t>法律、行政法规、部门规章或本章程授予的其他职权。</w:t>
      </w:r>
    </w:p>
    <w:p w14:paraId="395264CB">
      <w:pPr>
        <w:spacing w:line="360" w:lineRule="auto"/>
        <w:ind w:firstLine="480" w:firstLineChars="200"/>
        <w:rPr>
          <w:rFonts w:ascii="宋体" w:cs="Times New Roman"/>
          <w:sz w:val="24"/>
          <w:szCs w:val="24"/>
        </w:rPr>
      </w:pPr>
      <w:r>
        <w:rPr>
          <w:rFonts w:hint="eastAsia" w:ascii="宋体" w:hAnsi="宋体" w:cs="宋体"/>
          <w:sz w:val="24"/>
          <w:szCs w:val="24"/>
        </w:rPr>
        <w:t>超过股东大会授权范围的事项，应当提交股东大会审议。</w:t>
      </w:r>
    </w:p>
    <w:p w14:paraId="7248B4DB">
      <w:pPr>
        <w:spacing w:line="360" w:lineRule="auto"/>
        <w:ind w:firstLine="482" w:firstLineChars="200"/>
        <w:rPr>
          <w:rFonts w:ascii="宋体" w:cs="Times New Roman"/>
          <w:sz w:val="24"/>
          <w:szCs w:val="24"/>
        </w:rPr>
      </w:pPr>
      <w:r>
        <w:rPr>
          <w:rFonts w:hint="eastAsia" w:ascii="宋体" w:hAnsi="宋体" w:cs="宋体"/>
          <w:b/>
          <w:bCs/>
          <w:sz w:val="24"/>
          <w:szCs w:val="24"/>
        </w:rPr>
        <w:t>第九十七条</w:t>
      </w:r>
      <w:r>
        <w:rPr>
          <w:rFonts w:hint="eastAsia" w:ascii="宋体" w:hAnsi="宋体" w:cs="宋体"/>
          <w:sz w:val="24"/>
          <w:szCs w:val="24"/>
        </w:rPr>
        <w:t xml:space="preserve">  公司董事会应当就注册会计师对公司财务报告出具的非标准审计意见向股东大会作出说明。</w:t>
      </w:r>
    </w:p>
    <w:p w14:paraId="38ED4FEC">
      <w:pPr>
        <w:tabs>
          <w:tab w:val="left" w:pos="1890"/>
          <w:tab w:val="left" w:pos="2520"/>
          <w:tab w:val="left" w:pos="3150"/>
          <w:tab w:val="left" w:pos="3780"/>
        </w:tabs>
        <w:spacing w:line="360" w:lineRule="auto"/>
        <w:ind w:firstLine="472" w:firstLineChars="196"/>
        <w:rPr>
          <w:rFonts w:ascii="宋体" w:cs="Arial"/>
          <w:sz w:val="24"/>
          <w:szCs w:val="24"/>
        </w:rPr>
      </w:pPr>
      <w:r>
        <w:rPr>
          <w:rFonts w:hint="eastAsia" w:ascii="宋体" w:hAnsi="宋体" w:cs="宋体"/>
          <w:b/>
          <w:bCs/>
          <w:sz w:val="24"/>
          <w:szCs w:val="24"/>
        </w:rPr>
        <w:t xml:space="preserve">第九十八条  </w:t>
      </w:r>
      <w:r>
        <w:rPr>
          <w:rFonts w:hint="eastAsia" w:ascii="宋体" w:hAnsi="宋体" w:cs="Arial"/>
          <w:sz w:val="24"/>
          <w:szCs w:val="24"/>
        </w:rPr>
        <w:t>董事会可以制定董事会议事规则，以确保董事会落实股东大会决议，提高工作效率，保证科学决策。董事会议事规则规定董事会的召开和表决程序，作为本章程的附件，由董事会拟定，股东大会批准。如董事会议事规则与公司章程存在相互冲突之处，应以公司章程为准。</w:t>
      </w:r>
    </w:p>
    <w:p w14:paraId="6A6B6CFC">
      <w:pPr>
        <w:spacing w:line="360" w:lineRule="auto"/>
        <w:ind w:firstLine="482" w:firstLineChars="200"/>
        <w:rPr>
          <w:rFonts w:ascii="宋体" w:cs="Times New Roman"/>
          <w:kern w:val="0"/>
          <w:sz w:val="24"/>
          <w:szCs w:val="24"/>
        </w:rPr>
      </w:pPr>
      <w:r>
        <w:rPr>
          <w:rFonts w:hint="eastAsia" w:ascii="宋体" w:hAnsi="宋体" w:cs="宋体"/>
          <w:b/>
          <w:bCs/>
          <w:sz w:val="24"/>
          <w:szCs w:val="24"/>
        </w:rPr>
        <w:t xml:space="preserve">第九十九条  </w:t>
      </w:r>
      <w:r>
        <w:rPr>
          <w:rFonts w:hint="eastAsia" w:ascii="宋体" w:hAnsi="宋体" w:cs="宋体"/>
          <w:sz w:val="24"/>
          <w:szCs w:val="24"/>
        </w:rPr>
        <w:t>董事会应当确定对外投资、收购出售资产、资产抵押、对外担保事项、委托理财、关联交易的权限，建立严格的审查和决策程序；重大投资项目应当组织有关专家、专业人员进行评审，并报股东大会批准。</w:t>
      </w:r>
    </w:p>
    <w:p w14:paraId="314255F9">
      <w:pPr>
        <w:spacing w:line="360" w:lineRule="auto"/>
        <w:ind w:firstLine="482" w:firstLineChars="200"/>
        <w:rPr>
          <w:rFonts w:ascii="宋体" w:cs="Times New Roman"/>
          <w:b/>
          <w:bCs/>
          <w:sz w:val="24"/>
          <w:szCs w:val="24"/>
        </w:rPr>
      </w:pPr>
      <w:r>
        <w:rPr>
          <w:rFonts w:hint="eastAsia" w:ascii="宋体" w:hAnsi="宋体" w:cs="宋体"/>
          <w:b/>
          <w:bCs/>
          <w:sz w:val="24"/>
          <w:szCs w:val="24"/>
        </w:rPr>
        <w:t xml:space="preserve">第一百条  </w:t>
      </w:r>
      <w:r>
        <w:rPr>
          <w:rFonts w:hint="eastAsia" w:ascii="宋体" w:hAnsi="宋体" w:cs="宋体"/>
          <w:sz w:val="24"/>
          <w:szCs w:val="24"/>
        </w:rPr>
        <w:t>董事会</w:t>
      </w:r>
      <w:r>
        <w:rPr>
          <w:rFonts w:hint="eastAsia" w:ascii="宋体" w:hAnsi="宋体" w:cs="宋体"/>
          <w:kern w:val="0"/>
          <w:sz w:val="24"/>
          <w:szCs w:val="24"/>
        </w:rPr>
        <w:t>设董事长</w:t>
      </w:r>
      <w:r>
        <w:rPr>
          <w:rFonts w:ascii="宋体" w:hAnsi="宋体" w:cs="宋体"/>
          <w:kern w:val="0"/>
          <w:sz w:val="24"/>
          <w:szCs w:val="24"/>
        </w:rPr>
        <w:t>1</w:t>
      </w:r>
      <w:r>
        <w:rPr>
          <w:rFonts w:hint="eastAsia" w:ascii="宋体" w:hAnsi="宋体" w:cs="宋体"/>
          <w:kern w:val="0"/>
          <w:sz w:val="24"/>
          <w:szCs w:val="24"/>
        </w:rPr>
        <w:t>人</w:t>
      </w:r>
      <w:r>
        <w:rPr>
          <w:rFonts w:hint="eastAsia" w:ascii="宋体" w:cs="宋体"/>
          <w:kern w:val="0"/>
          <w:sz w:val="24"/>
          <w:szCs w:val="24"/>
        </w:rPr>
        <w:t>，</w:t>
      </w:r>
      <w:r>
        <w:rPr>
          <w:rFonts w:hint="eastAsia" w:ascii="宋体" w:hAnsi="宋体" w:cs="宋体"/>
          <w:kern w:val="0"/>
          <w:sz w:val="24"/>
          <w:szCs w:val="24"/>
        </w:rPr>
        <w:t>董事长由董事会全体董事的过半数选举产生。</w:t>
      </w:r>
    </w:p>
    <w:p w14:paraId="706C226A">
      <w:pPr>
        <w:spacing w:line="360" w:lineRule="auto"/>
        <w:ind w:firstLine="482" w:firstLineChars="200"/>
        <w:jc w:val="left"/>
        <w:rPr>
          <w:rFonts w:ascii="宋体" w:cs="Times New Roman"/>
          <w:sz w:val="24"/>
          <w:szCs w:val="24"/>
        </w:rPr>
      </w:pPr>
      <w:r>
        <w:rPr>
          <w:rFonts w:hint="eastAsia" w:ascii="宋体" w:hAnsi="宋体" w:cs="宋体"/>
          <w:b/>
          <w:bCs/>
          <w:sz w:val="24"/>
          <w:szCs w:val="24"/>
        </w:rPr>
        <w:t xml:space="preserve">第一百零一条  </w:t>
      </w:r>
      <w:r>
        <w:rPr>
          <w:rFonts w:hint="eastAsia" w:ascii="宋体" w:hAnsi="宋体" w:cs="宋体"/>
          <w:sz w:val="24"/>
          <w:szCs w:val="24"/>
        </w:rPr>
        <w:t>董事长行使下列职权：</w:t>
      </w:r>
    </w:p>
    <w:p w14:paraId="695009FD">
      <w:pPr>
        <w:spacing w:line="360" w:lineRule="auto"/>
        <w:ind w:firstLine="480" w:firstLineChars="200"/>
        <w:jc w:val="left"/>
        <w:rPr>
          <w:rFonts w:ascii="宋体" w:cs="Times New Roman"/>
          <w:sz w:val="24"/>
          <w:szCs w:val="24"/>
        </w:rPr>
      </w:pPr>
      <w:r>
        <w:rPr>
          <w:rFonts w:hint="eastAsia" w:ascii="宋体" w:hAnsi="宋体" w:cs="宋体"/>
          <w:sz w:val="24"/>
          <w:szCs w:val="24"/>
        </w:rPr>
        <w:t>（一）主持股东大会和召集、主持董事会会议；</w:t>
      </w:r>
    </w:p>
    <w:p w14:paraId="6D1D6294">
      <w:pPr>
        <w:spacing w:line="360" w:lineRule="auto"/>
        <w:ind w:firstLine="480" w:firstLineChars="200"/>
        <w:jc w:val="left"/>
        <w:rPr>
          <w:rFonts w:ascii="宋体" w:cs="Times New Roman"/>
          <w:sz w:val="24"/>
          <w:szCs w:val="24"/>
        </w:rPr>
      </w:pPr>
      <w:r>
        <w:rPr>
          <w:rFonts w:hint="eastAsia" w:ascii="宋体" w:hAnsi="宋体" w:cs="宋体"/>
          <w:sz w:val="24"/>
          <w:szCs w:val="24"/>
        </w:rPr>
        <w:t>（二）督促、检查董事会决议的执行；</w:t>
      </w:r>
    </w:p>
    <w:p w14:paraId="02EAC601">
      <w:pPr>
        <w:spacing w:line="360" w:lineRule="auto"/>
        <w:ind w:firstLine="480" w:firstLineChars="200"/>
        <w:jc w:val="left"/>
        <w:rPr>
          <w:rFonts w:ascii="宋体" w:cs="Times New Roman"/>
          <w:sz w:val="24"/>
          <w:szCs w:val="24"/>
        </w:rPr>
      </w:pPr>
      <w:r>
        <w:rPr>
          <w:rFonts w:hint="eastAsia" w:ascii="宋体" w:hAnsi="宋体" w:cs="宋体"/>
          <w:sz w:val="24"/>
          <w:szCs w:val="24"/>
        </w:rPr>
        <w:t>（三）董事会授予的其他职权。</w:t>
      </w:r>
    </w:p>
    <w:p w14:paraId="35001E19">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第一百零二条  </w:t>
      </w:r>
      <w:r>
        <w:rPr>
          <w:rFonts w:hint="eastAsia" w:ascii="宋体" w:hAnsi="宋体" w:cs="宋体"/>
          <w:sz w:val="24"/>
          <w:szCs w:val="24"/>
        </w:rPr>
        <w:t>董事长不能履行职务或者不履行职务的，由半数以上董事共同推举一名董事履行职务。</w:t>
      </w:r>
    </w:p>
    <w:p w14:paraId="2908EACE">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第一百零三条  </w:t>
      </w:r>
      <w:r>
        <w:rPr>
          <w:rFonts w:hint="eastAsia" w:ascii="宋体" w:hAnsi="宋体" w:cs="宋体"/>
          <w:sz w:val="24"/>
          <w:szCs w:val="24"/>
        </w:rPr>
        <w:t>董事会每年至少召开两次会议，由董事长召集，于会议召开</w:t>
      </w:r>
      <w:r>
        <w:rPr>
          <w:rFonts w:ascii="宋体" w:hAnsi="宋体" w:cs="宋体"/>
          <w:sz w:val="24"/>
          <w:szCs w:val="24"/>
        </w:rPr>
        <w:t>10</w:t>
      </w:r>
      <w:r>
        <w:rPr>
          <w:rFonts w:hint="eastAsia" w:ascii="宋体" w:hAnsi="宋体" w:cs="宋体"/>
          <w:sz w:val="24"/>
          <w:szCs w:val="24"/>
        </w:rPr>
        <w:t>日以前书面通知全体董事和监事。</w:t>
      </w:r>
      <w:r>
        <w:rPr>
          <w:rFonts w:hint="eastAsia" w:ascii="宋体" w:hAnsi="宋体" w:cs="Arial"/>
          <w:sz w:val="24"/>
          <w:szCs w:val="24"/>
        </w:rPr>
        <w:t>经公司各董事同意，可豁免上述条款规定的通知时限。</w:t>
      </w:r>
    </w:p>
    <w:p w14:paraId="73E053EA">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第一百零四条  </w:t>
      </w:r>
      <w:r>
        <w:rPr>
          <w:rFonts w:hint="eastAsia" w:ascii="宋体" w:hAnsi="宋体" w:cs="宋体"/>
          <w:sz w:val="24"/>
          <w:szCs w:val="24"/>
        </w:rPr>
        <w:t>代表</w:t>
      </w:r>
      <w:r>
        <w:rPr>
          <w:rFonts w:ascii="宋体" w:hAnsi="宋体" w:cs="宋体"/>
          <w:sz w:val="24"/>
          <w:szCs w:val="24"/>
        </w:rPr>
        <w:t>1/10</w:t>
      </w:r>
      <w:r>
        <w:rPr>
          <w:rFonts w:hint="eastAsia" w:ascii="宋体" w:hAnsi="宋体" w:cs="宋体"/>
          <w:sz w:val="24"/>
          <w:szCs w:val="24"/>
        </w:rPr>
        <w:t>以上表决权的股东、</w:t>
      </w:r>
      <w:r>
        <w:rPr>
          <w:rFonts w:ascii="宋体" w:hAnsi="宋体" w:cs="宋体"/>
          <w:sz w:val="24"/>
          <w:szCs w:val="24"/>
        </w:rPr>
        <w:t>1/3</w:t>
      </w:r>
      <w:r>
        <w:rPr>
          <w:rFonts w:hint="eastAsia" w:ascii="宋体" w:hAnsi="宋体" w:cs="宋体"/>
          <w:sz w:val="24"/>
          <w:szCs w:val="24"/>
        </w:rPr>
        <w:t>以上董事或者监事会，可以提议召开董事会临时会议。董事长应当自接到提议后</w:t>
      </w:r>
      <w:r>
        <w:rPr>
          <w:rFonts w:ascii="宋体" w:hAnsi="宋体" w:cs="宋体"/>
          <w:sz w:val="24"/>
          <w:szCs w:val="24"/>
        </w:rPr>
        <w:t>10</w:t>
      </w:r>
      <w:r>
        <w:rPr>
          <w:rFonts w:hint="eastAsia" w:ascii="宋体" w:hAnsi="宋体" w:cs="宋体"/>
          <w:sz w:val="24"/>
          <w:szCs w:val="24"/>
        </w:rPr>
        <w:t>日内，召集和主持董事会会议。</w:t>
      </w:r>
    </w:p>
    <w:p w14:paraId="5F8D9D4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第一百零五条  </w:t>
      </w:r>
      <w:r>
        <w:rPr>
          <w:rFonts w:hint="eastAsia" w:ascii="宋体" w:hAnsi="宋体" w:cs="宋体"/>
          <w:sz w:val="24"/>
          <w:szCs w:val="24"/>
        </w:rPr>
        <w:t>董事会召开临时董事会会议应以书面形式在会议召开3日前通知全体董事，但在特殊或紧急情况下以现场会议、电话或传真等方式召开临时董事会会议的除外。</w:t>
      </w:r>
    </w:p>
    <w:p w14:paraId="4421299E">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第一百零六条  </w:t>
      </w:r>
      <w:r>
        <w:rPr>
          <w:rFonts w:hint="eastAsia" w:ascii="宋体" w:hAnsi="宋体" w:cs="宋体"/>
          <w:sz w:val="24"/>
          <w:szCs w:val="24"/>
        </w:rPr>
        <w:t>董事会会议通知包括以下内容：</w:t>
      </w:r>
    </w:p>
    <w:p w14:paraId="6FF88E27">
      <w:pPr>
        <w:spacing w:line="360" w:lineRule="auto"/>
        <w:ind w:firstLine="480" w:firstLineChars="200"/>
        <w:rPr>
          <w:rFonts w:ascii="宋体" w:cs="Times New Roman"/>
          <w:sz w:val="24"/>
          <w:szCs w:val="24"/>
        </w:rPr>
      </w:pPr>
      <w:r>
        <w:rPr>
          <w:rFonts w:hint="eastAsia" w:ascii="宋体" w:hAnsi="宋体" w:cs="宋体"/>
          <w:sz w:val="24"/>
          <w:szCs w:val="24"/>
        </w:rPr>
        <w:t>（一）会议日期和地点；</w:t>
      </w:r>
    </w:p>
    <w:p w14:paraId="2E634843">
      <w:pPr>
        <w:spacing w:line="360" w:lineRule="auto"/>
        <w:ind w:firstLine="480" w:firstLineChars="200"/>
        <w:rPr>
          <w:rFonts w:ascii="宋体" w:cs="Times New Roman"/>
          <w:sz w:val="24"/>
          <w:szCs w:val="24"/>
        </w:rPr>
      </w:pPr>
      <w:r>
        <w:rPr>
          <w:rFonts w:hint="eastAsia" w:ascii="宋体" w:hAnsi="宋体" w:cs="宋体"/>
          <w:sz w:val="24"/>
          <w:szCs w:val="24"/>
        </w:rPr>
        <w:t>（二）会议期限；</w:t>
      </w:r>
    </w:p>
    <w:p w14:paraId="7B8A6FED">
      <w:pPr>
        <w:spacing w:line="360" w:lineRule="auto"/>
        <w:ind w:firstLine="480" w:firstLineChars="200"/>
        <w:rPr>
          <w:rFonts w:ascii="宋体" w:cs="宋体"/>
          <w:sz w:val="24"/>
          <w:szCs w:val="24"/>
        </w:rPr>
      </w:pPr>
      <w:r>
        <w:rPr>
          <w:rFonts w:hint="eastAsia" w:ascii="宋体" w:hAnsi="宋体" w:cs="宋体"/>
          <w:sz w:val="24"/>
          <w:szCs w:val="24"/>
        </w:rPr>
        <w:t>（三）事由和议题；</w:t>
      </w:r>
    </w:p>
    <w:p w14:paraId="3BDEB792">
      <w:pPr>
        <w:spacing w:line="360" w:lineRule="auto"/>
        <w:ind w:firstLine="480" w:firstLineChars="200"/>
        <w:rPr>
          <w:rFonts w:ascii="宋体" w:cs="Times New Roman"/>
          <w:sz w:val="24"/>
          <w:szCs w:val="24"/>
        </w:rPr>
      </w:pPr>
      <w:r>
        <w:rPr>
          <w:rFonts w:hint="eastAsia" w:ascii="宋体" w:hAnsi="宋体" w:cs="宋体"/>
          <w:sz w:val="24"/>
          <w:szCs w:val="24"/>
        </w:rPr>
        <w:t>（四）会议形式；</w:t>
      </w:r>
    </w:p>
    <w:p w14:paraId="2469BC1F">
      <w:pPr>
        <w:spacing w:line="360" w:lineRule="auto"/>
        <w:ind w:firstLine="480" w:firstLineChars="200"/>
        <w:rPr>
          <w:rFonts w:ascii="宋体" w:cs="Times New Roman"/>
          <w:sz w:val="24"/>
          <w:szCs w:val="24"/>
        </w:rPr>
      </w:pPr>
      <w:r>
        <w:rPr>
          <w:rFonts w:hint="eastAsia" w:ascii="宋体" w:hAnsi="宋体" w:cs="宋体"/>
          <w:sz w:val="24"/>
          <w:szCs w:val="24"/>
        </w:rPr>
        <w:t>（五）发出通知的日期。</w:t>
      </w:r>
    </w:p>
    <w:p w14:paraId="348192F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第一百零七条  </w:t>
      </w:r>
      <w:r>
        <w:rPr>
          <w:rFonts w:hint="eastAsia" w:ascii="宋体" w:hAnsi="宋体" w:cs="宋体"/>
          <w:sz w:val="24"/>
          <w:szCs w:val="24"/>
        </w:rPr>
        <w:t>董事会会议应有过半数的董事出席方可举行。董事会作出决议，必须经全体董事的过半数通过。</w:t>
      </w:r>
    </w:p>
    <w:p w14:paraId="06790C7F">
      <w:pPr>
        <w:spacing w:line="360" w:lineRule="auto"/>
        <w:ind w:firstLine="480" w:firstLineChars="200"/>
        <w:rPr>
          <w:rFonts w:ascii="宋体" w:cs="Times New Roman"/>
          <w:sz w:val="24"/>
          <w:szCs w:val="24"/>
        </w:rPr>
      </w:pPr>
      <w:r>
        <w:rPr>
          <w:rFonts w:hint="eastAsia" w:ascii="宋体" w:hAnsi="宋体" w:cs="宋体"/>
          <w:sz w:val="24"/>
          <w:szCs w:val="24"/>
        </w:rPr>
        <w:t>董事会决议的表决，实行一人一票制。</w:t>
      </w:r>
    </w:p>
    <w:p w14:paraId="5908C5C7">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第一百零八条  </w:t>
      </w:r>
      <w:r>
        <w:rPr>
          <w:rFonts w:hint="eastAsia" w:ascii="宋体" w:hAnsi="宋体" w:cs="宋体"/>
          <w:sz w:val="24"/>
          <w:szCs w:val="24"/>
        </w:rPr>
        <w:t>董事与董事会会议决议事项所涉及的企业有关联关系的</w:t>
      </w:r>
      <w:r>
        <w:rPr>
          <w:rFonts w:ascii="宋体" w:cs="宋体"/>
          <w:sz w:val="24"/>
          <w:szCs w:val="24"/>
        </w:rPr>
        <w:t>,</w:t>
      </w:r>
      <w:r>
        <w:rPr>
          <w:rFonts w:hint="eastAsia" w:ascii="宋体" w:hAnsi="宋体" w:cs="宋体"/>
          <w:sz w:val="24"/>
          <w:szCs w:val="24"/>
        </w:rPr>
        <w:t>不得对该项决议行使表决权，也不得代理其他董事行使表决权。该董事会会议由过半数的无关联关系董事出席即可举行，董事会会议所作决议须经无关联关系董事过半数通过。出席董事会的无关联董事人数不足</w:t>
      </w:r>
      <w:r>
        <w:rPr>
          <w:rFonts w:ascii="宋体" w:hAnsi="宋体" w:cs="宋体"/>
          <w:sz w:val="24"/>
          <w:szCs w:val="24"/>
        </w:rPr>
        <w:t>3</w:t>
      </w:r>
      <w:r>
        <w:rPr>
          <w:rFonts w:hint="eastAsia" w:ascii="宋体" w:hAnsi="宋体" w:cs="宋体"/>
          <w:sz w:val="24"/>
          <w:szCs w:val="24"/>
        </w:rPr>
        <w:t>人的，应将该事项提交股东大会审议。</w:t>
      </w:r>
    </w:p>
    <w:p w14:paraId="05E18C38">
      <w:pPr>
        <w:spacing w:line="360" w:lineRule="auto"/>
        <w:ind w:firstLine="482" w:firstLineChars="200"/>
        <w:rPr>
          <w:rFonts w:ascii="宋体" w:cs="Arial"/>
          <w:sz w:val="24"/>
          <w:szCs w:val="24"/>
        </w:rPr>
      </w:pPr>
      <w:r>
        <w:rPr>
          <w:rFonts w:hint="eastAsia" w:ascii="宋体" w:hAnsi="宋体" w:cs="宋体"/>
          <w:b/>
          <w:bCs/>
          <w:sz w:val="24"/>
          <w:szCs w:val="24"/>
        </w:rPr>
        <w:t xml:space="preserve">第一百零九条  </w:t>
      </w:r>
      <w:r>
        <w:rPr>
          <w:rFonts w:hint="eastAsia" w:ascii="宋体" w:hAnsi="宋体" w:cs="Arial"/>
          <w:sz w:val="24"/>
          <w:szCs w:val="24"/>
        </w:rPr>
        <w:t>董事会决议表决采取举手表决或记名投票方式。</w:t>
      </w:r>
    </w:p>
    <w:p w14:paraId="68BB2483">
      <w:pPr>
        <w:spacing w:line="360" w:lineRule="auto"/>
        <w:ind w:firstLine="480" w:firstLineChars="200"/>
        <w:rPr>
          <w:rFonts w:ascii="宋体" w:cs="宋体"/>
          <w:sz w:val="24"/>
          <w:szCs w:val="24"/>
        </w:rPr>
      </w:pPr>
      <w:r>
        <w:rPr>
          <w:rFonts w:hint="eastAsia" w:ascii="宋体" w:hAnsi="宋体" w:cs="宋体"/>
          <w:sz w:val="24"/>
          <w:szCs w:val="24"/>
        </w:rPr>
        <w:t>董事会临时会议在保障董事充分表达意见的前提下，可以用传真、传签董事会决议草案、电话或视频会议等方式进行并作出决议，并由参会董事签字。</w:t>
      </w:r>
    </w:p>
    <w:p w14:paraId="13757566">
      <w:pPr>
        <w:tabs>
          <w:tab w:val="left" w:pos="1890"/>
          <w:tab w:val="left" w:pos="2520"/>
          <w:tab w:val="left" w:pos="3150"/>
          <w:tab w:val="left" w:pos="3780"/>
        </w:tabs>
        <w:spacing w:line="360" w:lineRule="auto"/>
        <w:ind w:firstLine="480" w:firstLineChars="200"/>
        <w:rPr>
          <w:rFonts w:ascii="宋体" w:cs="Arial"/>
          <w:sz w:val="24"/>
          <w:szCs w:val="24"/>
        </w:rPr>
      </w:pPr>
      <w:r>
        <w:rPr>
          <w:rFonts w:hint="eastAsia" w:ascii="宋体" w:hAnsi="宋体" w:cs="Arial"/>
          <w:sz w:val="24"/>
          <w:szCs w:val="24"/>
        </w:rPr>
        <w:t>董事应当在董事会决议上签字并对董事会的决议承担责任。董事会决议违反法律、法规或者章程，致使公司遭受损失的，参与决议的董事对公司负赔偿责任。但经证明在表决时曾表明异议并记载于会议记录的，该董事可以免除责任。</w:t>
      </w:r>
    </w:p>
    <w:p w14:paraId="746229D3">
      <w:pPr>
        <w:pStyle w:val="16"/>
        <w:spacing w:line="360" w:lineRule="auto"/>
        <w:ind w:firstLineChars="200"/>
        <w:rPr>
          <w:rFonts w:ascii="宋体" w:cs="宋体"/>
          <w:color w:val="auto"/>
          <w:u w:val="none"/>
        </w:rPr>
      </w:pPr>
      <w:r>
        <w:rPr>
          <w:rFonts w:hint="eastAsia" w:ascii="宋体" w:hAnsi="宋体" w:cs="宋体"/>
          <w:b/>
          <w:bCs/>
          <w:color w:val="auto"/>
          <w:u w:val="none"/>
        </w:rPr>
        <w:t xml:space="preserve">第一百一十条  </w:t>
      </w:r>
      <w:r>
        <w:rPr>
          <w:rFonts w:hint="eastAsia" w:ascii="宋体" w:hAnsi="宋体" w:cs="Arial"/>
          <w:color w:val="auto"/>
          <w:u w:val="none"/>
        </w:rPr>
        <w:t>董事会会议，应由董事本人出席；董事因故不能出席，可以书面委托其他董事代为出席，委托书中应载明代理人的姓名，代理事项、授权范围和有效期限，并由委托人签名或盖章。代为出席会议的董事应当在授权范围内行使董事的权利。董事未出席董事会会议，亦未委托代表出席的，视为放弃在该次会议上的投票权。</w:t>
      </w:r>
    </w:p>
    <w:p w14:paraId="34E0C588">
      <w:pPr>
        <w:spacing w:line="360" w:lineRule="auto"/>
        <w:ind w:firstLine="482" w:firstLineChars="200"/>
        <w:rPr>
          <w:rFonts w:ascii="宋体" w:cs="Times New Roman"/>
          <w:sz w:val="24"/>
          <w:szCs w:val="24"/>
        </w:rPr>
      </w:pPr>
      <w:r>
        <w:rPr>
          <w:rFonts w:hint="eastAsia" w:ascii="宋体" w:hAnsi="宋体" w:cs="宋体"/>
          <w:b/>
          <w:bCs/>
          <w:sz w:val="24"/>
          <w:szCs w:val="24"/>
        </w:rPr>
        <w:t>第一百一十一条</w:t>
      </w:r>
      <w:r>
        <w:rPr>
          <w:rFonts w:hint="eastAsia" w:ascii="宋体" w:hAnsi="宋体" w:cs="宋体"/>
          <w:sz w:val="24"/>
          <w:szCs w:val="24"/>
        </w:rPr>
        <w:t xml:space="preserve">  董事会应当对会议所议事项的决定做成会议记录，出席会议的董事、董事会秘书和记录人应当在会议记录上签名。</w:t>
      </w:r>
    </w:p>
    <w:p w14:paraId="6A1E91F5">
      <w:pPr>
        <w:spacing w:line="360" w:lineRule="auto"/>
        <w:ind w:firstLine="480" w:firstLineChars="200"/>
        <w:rPr>
          <w:rFonts w:ascii="宋体" w:cs="Arial"/>
          <w:sz w:val="24"/>
          <w:szCs w:val="24"/>
        </w:rPr>
      </w:pPr>
      <w:r>
        <w:rPr>
          <w:rFonts w:hint="eastAsia" w:ascii="宋体" w:hAnsi="宋体" w:cs="Arial"/>
          <w:sz w:val="24"/>
          <w:szCs w:val="24"/>
        </w:rPr>
        <w:t>董事会会议记录作为公司档案保存，保存期限不少于</w:t>
      </w:r>
      <w:r>
        <w:rPr>
          <w:rFonts w:ascii="宋体" w:hAnsi="宋体" w:cs="Arial"/>
          <w:sz w:val="24"/>
          <w:szCs w:val="24"/>
        </w:rPr>
        <w:t>10</w:t>
      </w:r>
      <w:r>
        <w:rPr>
          <w:rFonts w:hint="eastAsia" w:ascii="宋体" w:hAnsi="宋体" w:cs="Arial"/>
          <w:sz w:val="24"/>
          <w:szCs w:val="24"/>
        </w:rPr>
        <w:t>年。</w:t>
      </w:r>
    </w:p>
    <w:p w14:paraId="741ACC8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第一百一十二条  </w:t>
      </w:r>
      <w:r>
        <w:rPr>
          <w:rFonts w:hint="eastAsia" w:ascii="宋体" w:hAnsi="宋体" w:cs="宋体"/>
          <w:sz w:val="24"/>
          <w:szCs w:val="24"/>
        </w:rPr>
        <w:t>董事会会议记录包括以下内容：</w:t>
      </w:r>
    </w:p>
    <w:p w14:paraId="1C11D42F">
      <w:pPr>
        <w:spacing w:line="360" w:lineRule="auto"/>
        <w:ind w:firstLine="480" w:firstLineChars="200"/>
        <w:rPr>
          <w:rFonts w:ascii="宋体" w:cs="Times New Roman"/>
          <w:sz w:val="24"/>
          <w:szCs w:val="24"/>
        </w:rPr>
      </w:pPr>
      <w:r>
        <w:rPr>
          <w:rFonts w:hint="eastAsia" w:ascii="宋体" w:hAnsi="宋体" w:cs="宋体"/>
          <w:sz w:val="24"/>
          <w:szCs w:val="24"/>
        </w:rPr>
        <w:t>（一）会议召开的日期、地点和召集人姓名；</w:t>
      </w:r>
    </w:p>
    <w:p w14:paraId="0DC38574">
      <w:pPr>
        <w:spacing w:line="360" w:lineRule="auto"/>
        <w:ind w:firstLine="480" w:firstLineChars="200"/>
        <w:rPr>
          <w:rFonts w:ascii="宋体" w:cs="Times New Roman"/>
          <w:sz w:val="24"/>
          <w:szCs w:val="24"/>
        </w:rPr>
      </w:pPr>
      <w:r>
        <w:rPr>
          <w:rFonts w:hint="eastAsia" w:ascii="宋体" w:hAnsi="宋体" w:cs="宋体"/>
          <w:sz w:val="24"/>
          <w:szCs w:val="24"/>
        </w:rPr>
        <w:t>（二）出席董事的姓名以及受他人委托出席董事会的董事（代理人）姓名；</w:t>
      </w:r>
    </w:p>
    <w:p w14:paraId="6DB6225C">
      <w:pPr>
        <w:spacing w:line="360" w:lineRule="auto"/>
        <w:ind w:firstLine="480" w:firstLineChars="200"/>
        <w:rPr>
          <w:rFonts w:ascii="宋体" w:cs="Times New Roman"/>
          <w:sz w:val="24"/>
          <w:szCs w:val="24"/>
        </w:rPr>
      </w:pPr>
      <w:r>
        <w:rPr>
          <w:rFonts w:hint="eastAsia" w:ascii="宋体" w:hAnsi="宋体" w:cs="宋体"/>
          <w:sz w:val="24"/>
          <w:szCs w:val="24"/>
        </w:rPr>
        <w:t>（三）会议议程；</w:t>
      </w:r>
    </w:p>
    <w:p w14:paraId="273A080F">
      <w:pPr>
        <w:spacing w:line="360" w:lineRule="auto"/>
        <w:ind w:firstLine="480" w:firstLineChars="200"/>
        <w:rPr>
          <w:rFonts w:ascii="宋体" w:cs="Times New Roman"/>
          <w:sz w:val="24"/>
          <w:szCs w:val="24"/>
        </w:rPr>
      </w:pPr>
      <w:r>
        <w:rPr>
          <w:rFonts w:hint="eastAsia" w:ascii="宋体" w:hAnsi="宋体" w:cs="宋体"/>
          <w:sz w:val="24"/>
          <w:szCs w:val="24"/>
        </w:rPr>
        <w:t>（四）董事发言要点；</w:t>
      </w:r>
    </w:p>
    <w:p w14:paraId="75D35BFB">
      <w:pPr>
        <w:spacing w:line="360" w:lineRule="auto"/>
        <w:ind w:firstLine="480" w:firstLineChars="200"/>
        <w:rPr>
          <w:rFonts w:ascii="宋体" w:cs="宋体"/>
          <w:sz w:val="24"/>
          <w:szCs w:val="24"/>
        </w:rPr>
      </w:pPr>
      <w:r>
        <w:rPr>
          <w:rFonts w:hint="eastAsia" w:ascii="宋体" w:hAnsi="宋体" w:cs="宋体"/>
          <w:sz w:val="24"/>
          <w:szCs w:val="24"/>
        </w:rPr>
        <w:t>（五）每一决议事项的表决方式和结果（表决结果应载明同意、反对或弃权的票数）。</w:t>
      </w:r>
    </w:p>
    <w:p w14:paraId="70C8DAE1">
      <w:pPr>
        <w:pStyle w:val="2"/>
        <w:rPr>
          <w:rFonts w:ascii="宋体" w:hAnsi="宋体" w:cs="宋体"/>
          <w:sz w:val="28"/>
          <w:szCs w:val="28"/>
        </w:rPr>
      </w:pPr>
      <w:bookmarkStart w:id="82" w:name="_Toc262635802"/>
      <w:bookmarkStart w:id="83" w:name="_Toc425712712"/>
      <w:bookmarkStart w:id="84" w:name="_Toc215991596"/>
      <w:bookmarkStart w:id="85" w:name="_Toc287717024"/>
      <w:bookmarkStart w:id="86" w:name="_Toc314734401"/>
      <w:r>
        <w:rPr>
          <w:rFonts w:hint="eastAsia" w:ascii="宋体" w:hAnsi="宋体" w:cs="宋体"/>
          <w:sz w:val="28"/>
          <w:szCs w:val="28"/>
        </w:rPr>
        <w:t>第六章   总经理及其他高级管理人员</w:t>
      </w:r>
      <w:bookmarkEnd w:id="82"/>
      <w:bookmarkEnd w:id="83"/>
      <w:bookmarkEnd w:id="84"/>
      <w:bookmarkEnd w:id="85"/>
      <w:bookmarkEnd w:id="86"/>
    </w:p>
    <w:p w14:paraId="6B140703">
      <w:pPr>
        <w:pStyle w:val="3"/>
        <w:rPr>
          <w:rFonts w:cs="宋体"/>
        </w:rPr>
      </w:pPr>
      <w:bookmarkStart w:id="87" w:name="_Toc262635803"/>
      <w:bookmarkStart w:id="88" w:name="_Toc215991597"/>
      <w:bookmarkStart w:id="89" w:name="_Toc287717025"/>
      <w:bookmarkStart w:id="90" w:name="_Toc425712713"/>
      <w:bookmarkStart w:id="91" w:name="_Toc137879469"/>
      <w:bookmarkStart w:id="92" w:name="_Toc314734402"/>
      <w:r>
        <w:rPr>
          <w:rFonts w:hint="eastAsia" w:cs="宋体"/>
        </w:rPr>
        <w:t>第一节  总经理</w:t>
      </w:r>
      <w:bookmarkEnd w:id="87"/>
      <w:bookmarkEnd w:id="88"/>
      <w:bookmarkEnd w:id="89"/>
      <w:bookmarkEnd w:id="90"/>
      <w:bookmarkEnd w:id="91"/>
      <w:bookmarkEnd w:id="92"/>
    </w:p>
    <w:p w14:paraId="7F071FD6">
      <w:pPr>
        <w:spacing w:line="360" w:lineRule="auto"/>
        <w:ind w:firstLine="482" w:firstLineChars="200"/>
        <w:rPr>
          <w:rFonts w:ascii="宋体" w:cs="Times New Roman"/>
          <w:sz w:val="24"/>
          <w:szCs w:val="24"/>
        </w:rPr>
      </w:pPr>
      <w:r>
        <w:rPr>
          <w:rFonts w:hint="eastAsia" w:ascii="宋体" w:hAnsi="宋体" w:cs="宋体"/>
          <w:b/>
          <w:bCs/>
          <w:sz w:val="24"/>
          <w:szCs w:val="24"/>
        </w:rPr>
        <w:t>第一百一十三条</w:t>
      </w:r>
      <w:r>
        <w:rPr>
          <w:rFonts w:hint="eastAsia" w:ascii="宋体" w:hAnsi="宋体" w:cs="宋体"/>
          <w:sz w:val="24"/>
          <w:szCs w:val="24"/>
        </w:rPr>
        <w:t xml:space="preserve">  公司设总经理</w:t>
      </w:r>
      <w:r>
        <w:rPr>
          <w:rFonts w:ascii="宋体" w:hAnsi="宋体" w:cs="宋体"/>
          <w:sz w:val="24"/>
          <w:szCs w:val="24"/>
        </w:rPr>
        <w:t>1</w:t>
      </w:r>
      <w:r>
        <w:rPr>
          <w:rFonts w:hint="eastAsia" w:ascii="宋体" w:hAnsi="宋体" w:cs="宋体"/>
          <w:sz w:val="24"/>
          <w:szCs w:val="24"/>
        </w:rPr>
        <w:t>名，由董事会聘任或者解聘。</w:t>
      </w:r>
    </w:p>
    <w:p w14:paraId="5B5F4868">
      <w:pPr>
        <w:spacing w:line="360" w:lineRule="auto"/>
        <w:ind w:firstLine="480" w:firstLineChars="200"/>
        <w:rPr>
          <w:rFonts w:ascii="宋体" w:cs="Times New Roman"/>
          <w:sz w:val="24"/>
          <w:szCs w:val="24"/>
        </w:rPr>
      </w:pPr>
      <w:r>
        <w:rPr>
          <w:rFonts w:hint="eastAsia" w:ascii="宋体" w:hAnsi="宋体" w:cs="宋体"/>
          <w:sz w:val="24"/>
          <w:szCs w:val="24"/>
        </w:rPr>
        <w:t>公司可根据需要设置副总经理，由董事会聘任或解聘；副总经理协助总经理工作。</w:t>
      </w:r>
    </w:p>
    <w:p w14:paraId="216A7028">
      <w:pPr>
        <w:spacing w:line="360" w:lineRule="auto"/>
        <w:ind w:firstLine="480" w:firstLineChars="200"/>
        <w:rPr>
          <w:rFonts w:ascii="宋体" w:cs="Times New Roman"/>
          <w:sz w:val="24"/>
          <w:szCs w:val="24"/>
        </w:rPr>
      </w:pPr>
      <w:r>
        <w:rPr>
          <w:rFonts w:hint="eastAsia" w:ascii="宋体" w:hAnsi="宋体" w:cs="宋体"/>
          <w:sz w:val="24"/>
          <w:szCs w:val="24"/>
        </w:rPr>
        <w:t>公司总经理、副总经理、主管财务的负责人、董事会秘书为公司高级管理人员。</w:t>
      </w:r>
    </w:p>
    <w:p w14:paraId="72C9C96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第一百一十四条  </w:t>
      </w:r>
      <w:r>
        <w:rPr>
          <w:rFonts w:hint="eastAsia" w:ascii="宋体" w:hAnsi="宋体" w:cs="宋体"/>
          <w:sz w:val="24"/>
          <w:szCs w:val="24"/>
        </w:rPr>
        <w:t>本章程关于不得担任董事的情形，同时适用于高级管理人员。</w:t>
      </w:r>
    </w:p>
    <w:p w14:paraId="19074419">
      <w:pPr>
        <w:spacing w:line="360" w:lineRule="auto"/>
        <w:ind w:firstLine="480" w:firstLineChars="200"/>
        <w:rPr>
          <w:rFonts w:ascii="宋体" w:cs="Times New Roman"/>
          <w:sz w:val="24"/>
          <w:szCs w:val="24"/>
        </w:rPr>
      </w:pPr>
      <w:r>
        <w:rPr>
          <w:rFonts w:hint="eastAsia" w:ascii="宋体" w:hAnsi="宋体" w:cs="宋体"/>
          <w:sz w:val="24"/>
          <w:szCs w:val="24"/>
        </w:rPr>
        <w:t>本章程第八十七条、第八十八条关于董事的忠实义务和勤勉义务的规定，同时适用于高级管理人员。</w:t>
      </w:r>
    </w:p>
    <w:p w14:paraId="4DBBCBD9">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第一百一十五条  </w:t>
      </w:r>
      <w:r>
        <w:rPr>
          <w:rFonts w:hint="eastAsia" w:ascii="宋体" w:hAnsi="宋体" w:cs="宋体"/>
          <w:sz w:val="24"/>
          <w:szCs w:val="24"/>
        </w:rPr>
        <w:t>在公司控股股东、实际控制人单位担任除董事以外其他职务的人员，不得担任公司的高级管理人员。</w:t>
      </w:r>
    </w:p>
    <w:p w14:paraId="020F99F7">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第一百一十六条  </w:t>
      </w:r>
      <w:r>
        <w:rPr>
          <w:rFonts w:hint="eastAsia" w:ascii="宋体" w:hAnsi="宋体" w:cs="宋体"/>
          <w:sz w:val="24"/>
          <w:szCs w:val="24"/>
        </w:rPr>
        <w:t>总经理每届任期三年，连聘可以连任。</w:t>
      </w:r>
    </w:p>
    <w:p w14:paraId="7DEB6D74">
      <w:pPr>
        <w:spacing w:line="360" w:lineRule="auto"/>
        <w:ind w:firstLine="482" w:firstLineChars="200"/>
        <w:rPr>
          <w:rFonts w:ascii="宋体" w:cs="Times New Roman"/>
          <w:sz w:val="24"/>
          <w:szCs w:val="24"/>
        </w:rPr>
      </w:pPr>
      <w:r>
        <w:rPr>
          <w:rFonts w:hint="eastAsia" w:ascii="宋体" w:hAnsi="宋体" w:cs="宋体"/>
          <w:b/>
          <w:bCs/>
          <w:sz w:val="24"/>
          <w:szCs w:val="24"/>
        </w:rPr>
        <w:t>第一百一十七条</w:t>
      </w:r>
      <w:r>
        <w:rPr>
          <w:rFonts w:hint="eastAsia" w:ascii="宋体" w:hAnsi="宋体" w:cs="宋体"/>
          <w:sz w:val="24"/>
          <w:szCs w:val="24"/>
        </w:rPr>
        <w:t xml:space="preserve">  总经理对董事会负责，行使下列职权：</w:t>
      </w:r>
    </w:p>
    <w:p w14:paraId="30A9037A">
      <w:pPr>
        <w:tabs>
          <w:tab w:val="left" w:pos="1410"/>
          <w:tab w:val="left" w:pos="2520"/>
          <w:tab w:val="left" w:pos="3150"/>
          <w:tab w:val="left" w:pos="3780"/>
        </w:tabs>
        <w:spacing w:line="360" w:lineRule="auto"/>
        <w:ind w:firstLine="480" w:firstLineChars="200"/>
        <w:rPr>
          <w:rFonts w:ascii="宋体" w:hAnsi="宋体" w:cs="Arial"/>
          <w:sz w:val="24"/>
          <w:szCs w:val="24"/>
        </w:rPr>
      </w:pPr>
      <w:r>
        <w:rPr>
          <w:rFonts w:hint="eastAsia" w:ascii="宋体" w:hAnsi="宋体" w:cs="Arial"/>
          <w:sz w:val="24"/>
          <w:szCs w:val="24"/>
        </w:rPr>
        <w:t>（一）</w:t>
      </w:r>
      <w:r>
        <w:rPr>
          <w:rFonts w:ascii="宋体" w:hAnsi="宋体" w:cs="Arial"/>
          <w:sz w:val="24"/>
          <w:szCs w:val="24"/>
        </w:rPr>
        <w:t xml:space="preserve"> </w:t>
      </w:r>
      <w:r>
        <w:rPr>
          <w:rFonts w:hint="eastAsia" w:ascii="宋体" w:hAnsi="宋体" w:cs="Arial"/>
          <w:sz w:val="24"/>
          <w:szCs w:val="24"/>
        </w:rPr>
        <w:t>主持公司的生产经营管理工作，组织实施董事会决议，并向董事会报告工作；</w:t>
      </w:r>
    </w:p>
    <w:p w14:paraId="0B3C945D">
      <w:pPr>
        <w:tabs>
          <w:tab w:val="left" w:pos="1410"/>
          <w:tab w:val="left" w:pos="2520"/>
          <w:tab w:val="left" w:pos="3150"/>
          <w:tab w:val="left" w:pos="3780"/>
        </w:tabs>
        <w:spacing w:line="360" w:lineRule="auto"/>
        <w:ind w:firstLine="480" w:firstLineChars="200"/>
        <w:rPr>
          <w:rFonts w:ascii="宋体" w:hAnsi="宋体" w:cs="Arial"/>
          <w:sz w:val="24"/>
          <w:szCs w:val="24"/>
        </w:rPr>
      </w:pPr>
      <w:r>
        <w:rPr>
          <w:rFonts w:ascii="宋体" w:hAnsi="宋体" w:cs="Arial"/>
          <w:sz w:val="24"/>
          <w:szCs w:val="24"/>
        </w:rPr>
        <w:t>(</w:t>
      </w:r>
      <w:r>
        <w:rPr>
          <w:rFonts w:hint="eastAsia" w:ascii="宋体" w:hAnsi="宋体" w:cs="Arial"/>
          <w:sz w:val="24"/>
          <w:szCs w:val="24"/>
        </w:rPr>
        <w:t>二</w:t>
      </w:r>
      <w:r>
        <w:rPr>
          <w:rFonts w:ascii="宋体" w:hAnsi="宋体" w:cs="Arial"/>
          <w:sz w:val="24"/>
          <w:szCs w:val="24"/>
        </w:rPr>
        <w:t xml:space="preserve">)  </w:t>
      </w:r>
      <w:r>
        <w:rPr>
          <w:rFonts w:hint="eastAsia" w:ascii="宋体" w:hAnsi="宋体" w:cs="Arial"/>
          <w:sz w:val="24"/>
          <w:szCs w:val="24"/>
        </w:rPr>
        <w:t>组织实施公司年度经营计划和投资方案；</w:t>
      </w:r>
    </w:p>
    <w:p w14:paraId="550F0E17">
      <w:pPr>
        <w:tabs>
          <w:tab w:val="left" w:pos="1170"/>
          <w:tab w:val="left" w:pos="2520"/>
          <w:tab w:val="left" w:pos="3150"/>
          <w:tab w:val="left" w:pos="3780"/>
        </w:tabs>
        <w:spacing w:line="360" w:lineRule="auto"/>
        <w:ind w:firstLine="480" w:firstLineChars="200"/>
        <w:rPr>
          <w:rFonts w:ascii="宋体" w:hAnsi="宋体" w:cs="Arial"/>
          <w:sz w:val="24"/>
          <w:szCs w:val="24"/>
        </w:rPr>
      </w:pPr>
      <w:r>
        <w:rPr>
          <w:rFonts w:ascii="宋体" w:hAnsi="宋体" w:cs="Arial"/>
          <w:sz w:val="24"/>
          <w:szCs w:val="24"/>
        </w:rPr>
        <w:t>(</w:t>
      </w:r>
      <w:r>
        <w:rPr>
          <w:rFonts w:hint="eastAsia" w:ascii="宋体" w:hAnsi="宋体" w:cs="Arial"/>
          <w:sz w:val="24"/>
          <w:szCs w:val="24"/>
        </w:rPr>
        <w:t>三</w:t>
      </w:r>
      <w:r>
        <w:rPr>
          <w:rFonts w:ascii="宋体" w:hAnsi="宋体" w:cs="Arial"/>
          <w:sz w:val="24"/>
          <w:szCs w:val="24"/>
        </w:rPr>
        <w:t>)</w:t>
      </w:r>
      <w:r>
        <w:rPr>
          <w:rFonts w:ascii="宋体" w:hAnsi="宋体" w:cs="Arial"/>
          <w:sz w:val="24"/>
          <w:szCs w:val="24"/>
        </w:rPr>
        <w:tab/>
      </w:r>
      <w:r>
        <w:rPr>
          <w:rFonts w:hint="eastAsia" w:ascii="宋体" w:hAnsi="宋体" w:cs="Arial"/>
          <w:sz w:val="24"/>
          <w:szCs w:val="24"/>
        </w:rPr>
        <w:t>拟订公司内部管理机构设置方案；</w:t>
      </w:r>
    </w:p>
    <w:p w14:paraId="24C7D916">
      <w:pPr>
        <w:tabs>
          <w:tab w:val="left" w:pos="1170"/>
          <w:tab w:val="left" w:pos="2520"/>
          <w:tab w:val="left" w:pos="3150"/>
          <w:tab w:val="left" w:pos="3780"/>
        </w:tabs>
        <w:spacing w:line="360" w:lineRule="auto"/>
        <w:ind w:firstLine="480" w:firstLineChars="200"/>
        <w:rPr>
          <w:rFonts w:ascii="宋体" w:hAnsi="宋体" w:cs="Arial"/>
          <w:sz w:val="24"/>
          <w:szCs w:val="24"/>
        </w:rPr>
      </w:pPr>
      <w:r>
        <w:rPr>
          <w:rFonts w:ascii="宋体" w:hAnsi="宋体" w:cs="Arial"/>
          <w:sz w:val="24"/>
          <w:szCs w:val="24"/>
        </w:rPr>
        <w:t>(</w:t>
      </w:r>
      <w:r>
        <w:rPr>
          <w:rFonts w:hint="eastAsia" w:ascii="宋体" w:hAnsi="宋体" w:cs="Arial"/>
          <w:sz w:val="24"/>
          <w:szCs w:val="24"/>
        </w:rPr>
        <w:t>四</w:t>
      </w:r>
      <w:r>
        <w:rPr>
          <w:rFonts w:ascii="宋体" w:hAnsi="宋体" w:cs="Arial"/>
          <w:sz w:val="24"/>
          <w:szCs w:val="24"/>
        </w:rPr>
        <w:t>)</w:t>
      </w:r>
      <w:r>
        <w:rPr>
          <w:rFonts w:ascii="宋体" w:hAnsi="宋体" w:cs="Arial"/>
          <w:sz w:val="24"/>
          <w:szCs w:val="24"/>
        </w:rPr>
        <w:tab/>
      </w:r>
      <w:r>
        <w:rPr>
          <w:rFonts w:hint="eastAsia" w:ascii="宋体" w:hAnsi="宋体" w:cs="Arial"/>
          <w:sz w:val="24"/>
          <w:szCs w:val="24"/>
        </w:rPr>
        <w:t>拟订公司的基本管理制度；</w:t>
      </w:r>
    </w:p>
    <w:p w14:paraId="6A66BE71">
      <w:pPr>
        <w:tabs>
          <w:tab w:val="left" w:pos="1170"/>
          <w:tab w:val="left" w:pos="2520"/>
          <w:tab w:val="left" w:pos="3150"/>
          <w:tab w:val="left" w:pos="3780"/>
        </w:tabs>
        <w:spacing w:line="360" w:lineRule="auto"/>
        <w:ind w:firstLine="480" w:firstLineChars="200"/>
        <w:rPr>
          <w:rFonts w:ascii="宋体" w:hAnsi="宋体" w:cs="Arial"/>
          <w:sz w:val="24"/>
          <w:szCs w:val="24"/>
        </w:rPr>
      </w:pPr>
      <w:r>
        <w:rPr>
          <w:rFonts w:ascii="宋体" w:hAnsi="宋体" w:cs="Arial"/>
          <w:sz w:val="24"/>
          <w:szCs w:val="24"/>
        </w:rPr>
        <w:t>(</w:t>
      </w:r>
      <w:r>
        <w:rPr>
          <w:rFonts w:hint="eastAsia" w:ascii="宋体" w:hAnsi="宋体" w:cs="Arial"/>
          <w:sz w:val="24"/>
          <w:szCs w:val="24"/>
        </w:rPr>
        <w:t>五</w:t>
      </w:r>
      <w:r>
        <w:rPr>
          <w:rFonts w:ascii="宋体" w:hAnsi="宋体" w:cs="Arial"/>
          <w:sz w:val="24"/>
          <w:szCs w:val="24"/>
        </w:rPr>
        <w:t>)</w:t>
      </w:r>
      <w:r>
        <w:rPr>
          <w:rFonts w:ascii="宋体" w:hAnsi="宋体" w:cs="Arial"/>
          <w:sz w:val="24"/>
          <w:szCs w:val="24"/>
        </w:rPr>
        <w:tab/>
      </w:r>
      <w:r>
        <w:rPr>
          <w:rFonts w:hint="eastAsia" w:ascii="宋体" w:hAnsi="宋体" w:cs="Arial"/>
          <w:sz w:val="24"/>
          <w:szCs w:val="24"/>
        </w:rPr>
        <w:t>制定公司的具体规章；</w:t>
      </w:r>
    </w:p>
    <w:p w14:paraId="5AB981FD">
      <w:pPr>
        <w:tabs>
          <w:tab w:val="left" w:pos="1170"/>
          <w:tab w:val="left" w:pos="2520"/>
          <w:tab w:val="left" w:pos="3150"/>
          <w:tab w:val="left" w:pos="3780"/>
        </w:tabs>
        <w:spacing w:line="360" w:lineRule="auto"/>
        <w:ind w:firstLine="480" w:firstLineChars="200"/>
        <w:rPr>
          <w:rFonts w:ascii="宋体" w:hAnsi="宋体" w:cs="Arial"/>
          <w:sz w:val="24"/>
          <w:szCs w:val="24"/>
        </w:rPr>
      </w:pPr>
      <w:r>
        <w:rPr>
          <w:rFonts w:ascii="宋体" w:hAnsi="宋体" w:cs="Arial"/>
          <w:sz w:val="24"/>
          <w:szCs w:val="24"/>
        </w:rPr>
        <w:t>(</w:t>
      </w:r>
      <w:r>
        <w:rPr>
          <w:rFonts w:hint="eastAsia" w:ascii="宋体" w:hAnsi="宋体" w:cs="Arial"/>
          <w:sz w:val="24"/>
          <w:szCs w:val="24"/>
        </w:rPr>
        <w:t>六</w:t>
      </w:r>
      <w:r>
        <w:rPr>
          <w:rFonts w:ascii="宋体" w:hAnsi="宋体" w:cs="Arial"/>
          <w:sz w:val="24"/>
          <w:szCs w:val="24"/>
        </w:rPr>
        <w:t>)</w:t>
      </w:r>
      <w:r>
        <w:rPr>
          <w:rFonts w:ascii="宋体" w:hAnsi="宋体" w:cs="Arial"/>
          <w:sz w:val="24"/>
          <w:szCs w:val="24"/>
        </w:rPr>
        <w:tab/>
      </w:r>
      <w:r>
        <w:rPr>
          <w:rFonts w:hint="eastAsia" w:ascii="宋体" w:hAnsi="宋体" w:cs="Arial"/>
          <w:sz w:val="24"/>
          <w:szCs w:val="24"/>
        </w:rPr>
        <w:t>提请董事会聘任或者解聘公司副总经理、主管财务的负责人；</w:t>
      </w:r>
    </w:p>
    <w:p w14:paraId="31D11E2C">
      <w:pPr>
        <w:tabs>
          <w:tab w:val="left" w:pos="1170"/>
          <w:tab w:val="left" w:pos="2520"/>
          <w:tab w:val="left" w:pos="3150"/>
          <w:tab w:val="left" w:pos="3780"/>
        </w:tabs>
        <w:spacing w:line="360" w:lineRule="auto"/>
        <w:ind w:firstLine="480" w:firstLineChars="200"/>
        <w:rPr>
          <w:rFonts w:ascii="宋体" w:cs="Arial"/>
          <w:sz w:val="24"/>
          <w:szCs w:val="24"/>
        </w:rPr>
      </w:pPr>
      <w:r>
        <w:rPr>
          <w:rFonts w:ascii="宋体" w:hAnsi="宋体" w:cs="Arial"/>
          <w:sz w:val="24"/>
          <w:szCs w:val="24"/>
        </w:rPr>
        <w:t>(</w:t>
      </w:r>
      <w:r>
        <w:rPr>
          <w:rFonts w:hint="eastAsia" w:ascii="宋体" w:hAnsi="宋体" w:cs="Arial"/>
          <w:sz w:val="24"/>
          <w:szCs w:val="24"/>
        </w:rPr>
        <w:t>七</w:t>
      </w:r>
      <w:r>
        <w:rPr>
          <w:rFonts w:ascii="宋体" w:hAnsi="宋体" w:cs="Arial"/>
          <w:sz w:val="24"/>
          <w:szCs w:val="24"/>
        </w:rPr>
        <w:t xml:space="preserve">)  </w:t>
      </w:r>
      <w:r>
        <w:rPr>
          <w:rFonts w:hint="eastAsia" w:ascii="宋体" w:hAnsi="宋体" w:cs="Arial"/>
          <w:sz w:val="24"/>
          <w:szCs w:val="24"/>
        </w:rPr>
        <w:t>决定聘任或者解聘除应由董事会决定聘任或者解聘以外的负责管理人员；</w:t>
      </w:r>
    </w:p>
    <w:p w14:paraId="06685F69">
      <w:pPr>
        <w:tabs>
          <w:tab w:val="left" w:pos="1170"/>
          <w:tab w:val="left" w:pos="2520"/>
          <w:tab w:val="left" w:pos="3150"/>
          <w:tab w:val="left" w:pos="3780"/>
        </w:tabs>
        <w:spacing w:line="360" w:lineRule="auto"/>
        <w:ind w:firstLine="480" w:firstLineChars="200"/>
        <w:rPr>
          <w:rFonts w:ascii="宋体" w:hAnsi="宋体" w:cs="Arial"/>
          <w:sz w:val="24"/>
          <w:szCs w:val="24"/>
        </w:rPr>
      </w:pPr>
      <w:r>
        <w:rPr>
          <w:rFonts w:ascii="宋体" w:hAnsi="宋体" w:cs="Arial"/>
          <w:sz w:val="24"/>
          <w:szCs w:val="24"/>
        </w:rPr>
        <w:t>(</w:t>
      </w:r>
      <w:r>
        <w:rPr>
          <w:rFonts w:hint="eastAsia" w:ascii="宋体" w:hAnsi="宋体" w:cs="Arial"/>
          <w:sz w:val="24"/>
          <w:szCs w:val="24"/>
        </w:rPr>
        <w:t>八</w:t>
      </w:r>
      <w:r>
        <w:rPr>
          <w:rFonts w:ascii="宋体" w:hAnsi="宋体" w:cs="Arial"/>
          <w:sz w:val="24"/>
          <w:szCs w:val="24"/>
        </w:rPr>
        <w:t>)</w:t>
      </w:r>
      <w:r>
        <w:rPr>
          <w:rFonts w:ascii="宋体" w:hAnsi="宋体" w:cs="Arial"/>
          <w:sz w:val="24"/>
          <w:szCs w:val="24"/>
        </w:rPr>
        <w:tab/>
      </w:r>
      <w:r>
        <w:rPr>
          <w:rFonts w:hint="eastAsia" w:ascii="宋体" w:hAnsi="宋体" w:cs="Arial"/>
          <w:sz w:val="24"/>
          <w:szCs w:val="24"/>
        </w:rPr>
        <w:t>本章程或董事会授予的其他职权。</w:t>
      </w:r>
    </w:p>
    <w:p w14:paraId="6FA6F949">
      <w:pPr>
        <w:tabs>
          <w:tab w:val="left" w:pos="1170"/>
          <w:tab w:val="left" w:pos="2520"/>
          <w:tab w:val="left" w:pos="3150"/>
          <w:tab w:val="left" w:pos="3780"/>
        </w:tabs>
        <w:spacing w:line="360" w:lineRule="auto"/>
        <w:ind w:firstLine="480" w:firstLineChars="200"/>
        <w:rPr>
          <w:rFonts w:ascii="宋体" w:cs="Arial"/>
          <w:sz w:val="24"/>
          <w:szCs w:val="24"/>
        </w:rPr>
      </w:pPr>
      <w:r>
        <w:rPr>
          <w:rFonts w:hint="eastAsia"/>
          <w:sz w:val="24"/>
          <w:szCs w:val="24"/>
        </w:rPr>
        <w:t>总经理列席董事会会议。</w:t>
      </w:r>
    </w:p>
    <w:p w14:paraId="38F73A12">
      <w:pPr>
        <w:spacing w:line="360" w:lineRule="auto"/>
        <w:ind w:firstLine="482" w:firstLineChars="200"/>
        <w:rPr>
          <w:rFonts w:ascii="宋体" w:cs="Times New Roman"/>
          <w:sz w:val="24"/>
          <w:szCs w:val="24"/>
        </w:rPr>
      </w:pPr>
      <w:r>
        <w:rPr>
          <w:rFonts w:hint="eastAsia" w:ascii="宋体" w:hAnsi="宋体" w:cs="宋体"/>
          <w:b/>
          <w:bCs/>
          <w:sz w:val="24"/>
          <w:szCs w:val="24"/>
        </w:rPr>
        <w:t>第一百一十八条</w:t>
      </w:r>
      <w:r>
        <w:rPr>
          <w:rFonts w:hint="eastAsia" w:ascii="宋体" w:hAnsi="宋体" w:cs="宋体"/>
          <w:sz w:val="24"/>
          <w:szCs w:val="24"/>
        </w:rPr>
        <w:t xml:space="preserve">  总经理列席董事会会议，非董事总经理在董事会上没有表决权。</w:t>
      </w:r>
    </w:p>
    <w:p w14:paraId="75AA3FB1">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第一百一十九条  </w:t>
      </w:r>
      <w:r>
        <w:rPr>
          <w:rFonts w:hint="eastAsia" w:ascii="宋体" w:hAnsi="宋体" w:cs="宋体"/>
          <w:sz w:val="24"/>
          <w:szCs w:val="24"/>
        </w:rPr>
        <w:t>总经理应制订总经理工作细则，报董事会批准后实施。总经理工作细则包括以下内容：</w:t>
      </w:r>
    </w:p>
    <w:p w14:paraId="677671EC">
      <w:pPr>
        <w:spacing w:line="360" w:lineRule="auto"/>
        <w:ind w:firstLine="480" w:firstLineChars="200"/>
        <w:rPr>
          <w:rFonts w:ascii="宋体" w:cs="Times New Roman"/>
          <w:sz w:val="24"/>
          <w:szCs w:val="24"/>
        </w:rPr>
      </w:pPr>
      <w:r>
        <w:rPr>
          <w:rFonts w:hint="eastAsia" w:ascii="宋体" w:hAnsi="宋体" w:cs="宋体"/>
          <w:sz w:val="24"/>
          <w:szCs w:val="24"/>
        </w:rPr>
        <w:t>（一）总经理会议召开的条件、程序和参加的人员；</w:t>
      </w:r>
    </w:p>
    <w:p w14:paraId="6D4A077F">
      <w:pPr>
        <w:spacing w:line="360" w:lineRule="auto"/>
        <w:ind w:firstLine="480" w:firstLineChars="200"/>
        <w:rPr>
          <w:rFonts w:ascii="宋体" w:cs="Times New Roman"/>
          <w:sz w:val="24"/>
          <w:szCs w:val="24"/>
        </w:rPr>
      </w:pPr>
      <w:r>
        <w:rPr>
          <w:rFonts w:hint="eastAsia" w:ascii="宋体" w:hAnsi="宋体" w:cs="宋体"/>
          <w:sz w:val="24"/>
          <w:szCs w:val="24"/>
        </w:rPr>
        <w:t>（二）总经理及其他高级管理人员各自具体的职责及其分工；</w:t>
      </w:r>
    </w:p>
    <w:p w14:paraId="3F65984A">
      <w:pPr>
        <w:spacing w:line="360" w:lineRule="auto"/>
        <w:ind w:firstLine="480" w:firstLineChars="200"/>
        <w:rPr>
          <w:rFonts w:ascii="宋体" w:cs="Times New Roman"/>
          <w:sz w:val="24"/>
          <w:szCs w:val="24"/>
        </w:rPr>
      </w:pPr>
      <w:r>
        <w:rPr>
          <w:rFonts w:hint="eastAsia" w:ascii="宋体" w:hAnsi="宋体" w:cs="宋体"/>
          <w:sz w:val="24"/>
          <w:szCs w:val="24"/>
        </w:rPr>
        <w:t>（三）公司资金、资产运用，签订重大合同的权限，以及向董事会、监事会的报告制度；</w:t>
      </w:r>
    </w:p>
    <w:p w14:paraId="7C2A1270">
      <w:pPr>
        <w:spacing w:line="360" w:lineRule="auto"/>
        <w:ind w:firstLine="480" w:firstLineChars="200"/>
        <w:rPr>
          <w:rFonts w:ascii="宋体" w:cs="Times New Roman"/>
          <w:sz w:val="24"/>
          <w:szCs w:val="24"/>
        </w:rPr>
      </w:pPr>
      <w:r>
        <w:rPr>
          <w:rFonts w:hint="eastAsia" w:ascii="宋体" w:hAnsi="宋体" w:cs="宋体"/>
          <w:sz w:val="24"/>
          <w:szCs w:val="24"/>
        </w:rPr>
        <w:t>（四）董事会认为必要的其他事项。</w:t>
      </w:r>
    </w:p>
    <w:p w14:paraId="5A2092E3">
      <w:pPr>
        <w:spacing w:line="360" w:lineRule="auto"/>
        <w:ind w:firstLine="482" w:firstLineChars="200"/>
        <w:rPr>
          <w:rFonts w:ascii="宋体" w:cs="宋体"/>
          <w:sz w:val="24"/>
          <w:szCs w:val="24"/>
        </w:rPr>
      </w:pPr>
      <w:r>
        <w:rPr>
          <w:rFonts w:hint="eastAsia" w:ascii="宋体" w:hAnsi="宋体" w:cs="宋体"/>
          <w:b/>
          <w:bCs/>
          <w:sz w:val="24"/>
          <w:szCs w:val="24"/>
        </w:rPr>
        <w:t xml:space="preserve">第一百二十条  </w:t>
      </w:r>
      <w:r>
        <w:rPr>
          <w:rFonts w:hint="eastAsia" w:ascii="宋体" w:hAnsi="宋体" w:cs="宋体"/>
          <w:sz w:val="24"/>
          <w:szCs w:val="24"/>
        </w:rPr>
        <w:t>总经理可以在任期届满以前提出辞职。有关总经理辞职的具体程序和办法由总经理与公司之间的劳动合同规定。</w:t>
      </w:r>
    </w:p>
    <w:p w14:paraId="764F6DF1">
      <w:pPr>
        <w:spacing w:line="360" w:lineRule="auto"/>
        <w:ind w:firstLine="482" w:firstLineChars="200"/>
        <w:rPr>
          <w:rFonts w:ascii="宋体" w:cs="宋体"/>
          <w:sz w:val="24"/>
          <w:szCs w:val="24"/>
        </w:rPr>
      </w:pPr>
      <w:r>
        <w:rPr>
          <w:rFonts w:hint="eastAsia" w:ascii="宋体" w:hAnsi="宋体" w:cs="宋体"/>
          <w:b/>
          <w:bCs/>
          <w:sz w:val="24"/>
          <w:szCs w:val="24"/>
        </w:rPr>
        <w:t xml:space="preserve">第一百二十一条  </w:t>
      </w:r>
      <w:r>
        <w:rPr>
          <w:rFonts w:hint="eastAsia" w:ascii="宋体" w:hAnsi="宋体" w:cs="Arial"/>
          <w:sz w:val="24"/>
          <w:szCs w:val="24"/>
        </w:rPr>
        <w:t>副总经理由总经理提名，董事会决定聘任或解聘；副总经理协助总经理进行公司的各项工作，受总经理领导，向总经理负责。</w:t>
      </w:r>
    </w:p>
    <w:p w14:paraId="0E4C5293">
      <w:pPr>
        <w:tabs>
          <w:tab w:val="left" w:pos="1890"/>
          <w:tab w:val="left" w:pos="2520"/>
          <w:tab w:val="left" w:pos="3150"/>
          <w:tab w:val="left" w:pos="3780"/>
        </w:tabs>
        <w:spacing w:line="360" w:lineRule="auto"/>
        <w:ind w:firstLine="472" w:firstLineChars="196"/>
        <w:rPr>
          <w:rFonts w:ascii="宋体" w:cs="Arial"/>
          <w:sz w:val="24"/>
          <w:szCs w:val="24"/>
        </w:rPr>
      </w:pPr>
      <w:r>
        <w:rPr>
          <w:rFonts w:hint="eastAsia" w:ascii="宋体" w:hAnsi="宋体" w:cs="宋体"/>
          <w:b/>
          <w:bCs/>
          <w:sz w:val="24"/>
          <w:szCs w:val="24"/>
        </w:rPr>
        <w:t xml:space="preserve">第一百二十二条  </w:t>
      </w:r>
      <w:r>
        <w:rPr>
          <w:rFonts w:hint="eastAsia" w:ascii="宋体" w:hAnsi="宋体" w:cs="Arial"/>
          <w:sz w:val="24"/>
          <w:szCs w:val="24"/>
        </w:rPr>
        <w:t>公司设董事会秘书，董事会秘书应遵守法律、行政法规、部门规章及本章程的有关规定。</w:t>
      </w:r>
    </w:p>
    <w:p w14:paraId="17E3AF5B">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第一百二十三条  </w:t>
      </w:r>
      <w:r>
        <w:rPr>
          <w:rFonts w:hint="eastAsia" w:ascii="宋体" w:hAnsi="宋体" w:cs="宋体"/>
          <w:sz w:val="24"/>
          <w:szCs w:val="24"/>
        </w:rPr>
        <w:t>高级管理人员执行公司职务时违反法律、行政法规、部门规章或本章程的规定，给公司造成损失的，应当承担赔偿责任。</w:t>
      </w:r>
    </w:p>
    <w:p w14:paraId="6B034D88">
      <w:pPr>
        <w:pStyle w:val="3"/>
        <w:rPr>
          <w:rFonts w:cs="宋体"/>
        </w:rPr>
      </w:pPr>
      <w:bookmarkStart w:id="93" w:name="_Toc215991599"/>
      <w:bookmarkStart w:id="94" w:name="_Toc314734403"/>
      <w:bookmarkStart w:id="95" w:name="_Toc425712714"/>
      <w:bookmarkStart w:id="96" w:name="_Toc262635805"/>
      <w:bookmarkStart w:id="97" w:name="_Toc287717026"/>
      <w:r>
        <w:rPr>
          <w:rFonts w:hint="eastAsia" w:cs="宋体"/>
        </w:rPr>
        <w:t>第二节  董事会秘书</w:t>
      </w:r>
      <w:bookmarkEnd w:id="93"/>
      <w:bookmarkEnd w:id="94"/>
      <w:bookmarkEnd w:id="95"/>
      <w:bookmarkEnd w:id="96"/>
      <w:bookmarkEnd w:id="97"/>
    </w:p>
    <w:p w14:paraId="2AFC0B8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第一百二十四条  </w:t>
      </w:r>
      <w:r>
        <w:rPr>
          <w:rFonts w:hint="eastAsia" w:ascii="宋体" w:hAnsi="宋体" w:cs="宋体"/>
          <w:bCs/>
          <w:sz w:val="24"/>
          <w:szCs w:val="24"/>
        </w:rPr>
        <w:t>公司设</w:t>
      </w:r>
      <w:r>
        <w:rPr>
          <w:rFonts w:hint="eastAsia" w:ascii="宋体" w:hAnsi="宋体" w:cs="宋体"/>
          <w:sz w:val="24"/>
          <w:szCs w:val="24"/>
        </w:rPr>
        <w:t>董事会秘书，负责公司股东大会和董事会会议的筹备、文件保管以及公司股东资料管理等事宜。</w:t>
      </w:r>
    </w:p>
    <w:p w14:paraId="374CE7CC">
      <w:pPr>
        <w:spacing w:line="360" w:lineRule="auto"/>
        <w:ind w:firstLine="480" w:firstLineChars="200"/>
        <w:rPr>
          <w:rFonts w:ascii="宋体" w:cs="Times New Roman"/>
          <w:sz w:val="24"/>
          <w:szCs w:val="24"/>
        </w:rPr>
      </w:pPr>
      <w:r>
        <w:rPr>
          <w:rFonts w:hint="eastAsia" w:ascii="宋体" w:hAnsi="宋体" w:cs="宋体"/>
          <w:sz w:val="24"/>
          <w:szCs w:val="24"/>
        </w:rPr>
        <w:t>董事会秘书应遵守法律、行政法规、部门规章及本章程的有关规定。</w:t>
      </w:r>
    </w:p>
    <w:p w14:paraId="68B2065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第一百二十五条  </w:t>
      </w:r>
      <w:r>
        <w:rPr>
          <w:rFonts w:hint="eastAsia" w:ascii="宋体" w:hAnsi="宋体" w:cs="宋体"/>
          <w:sz w:val="24"/>
          <w:szCs w:val="24"/>
        </w:rPr>
        <w:t>董事会秘书经董事会聘任或解聘。董事兼任董事会秘书的，如果某一行为需由董事、董事会秘书分别作出时，则该兼任董事及董事会秘书的人不得以双重身份作出。</w:t>
      </w:r>
    </w:p>
    <w:p w14:paraId="4BD7EBBA">
      <w:pPr>
        <w:pStyle w:val="2"/>
        <w:rPr>
          <w:rFonts w:ascii="宋体" w:hAnsi="宋体" w:cs="宋体"/>
          <w:sz w:val="28"/>
          <w:szCs w:val="28"/>
        </w:rPr>
      </w:pPr>
      <w:bookmarkStart w:id="98" w:name="_Toc262635806"/>
      <w:bookmarkStart w:id="99" w:name="_Toc215991600"/>
      <w:bookmarkStart w:id="100" w:name="_Toc425712715"/>
      <w:bookmarkStart w:id="101" w:name="_Toc314734404"/>
      <w:bookmarkStart w:id="102" w:name="_Toc287717027"/>
      <w:r>
        <w:rPr>
          <w:rFonts w:hint="eastAsia" w:ascii="宋体" w:hAnsi="宋体" w:cs="宋体"/>
          <w:sz w:val="28"/>
          <w:szCs w:val="28"/>
        </w:rPr>
        <w:t>第七章   监事会</w:t>
      </w:r>
      <w:bookmarkEnd w:id="98"/>
      <w:bookmarkEnd w:id="99"/>
      <w:bookmarkEnd w:id="100"/>
      <w:bookmarkEnd w:id="101"/>
      <w:bookmarkEnd w:id="102"/>
    </w:p>
    <w:p w14:paraId="3A119445">
      <w:pPr>
        <w:pStyle w:val="3"/>
        <w:rPr>
          <w:rFonts w:cs="宋体"/>
        </w:rPr>
      </w:pPr>
      <w:bookmarkStart w:id="103" w:name="_Toc425712716"/>
      <w:bookmarkStart w:id="104" w:name="_Toc215991601"/>
      <w:bookmarkStart w:id="105" w:name="_Toc137879472"/>
      <w:bookmarkStart w:id="106" w:name="_Toc314734405"/>
      <w:bookmarkStart w:id="107" w:name="_Toc287717028"/>
      <w:bookmarkStart w:id="108" w:name="_Toc262635807"/>
      <w:r>
        <w:rPr>
          <w:rFonts w:hint="eastAsia" w:cs="宋体"/>
        </w:rPr>
        <w:t>第一节  监事</w:t>
      </w:r>
      <w:bookmarkEnd w:id="103"/>
      <w:bookmarkEnd w:id="104"/>
      <w:bookmarkEnd w:id="105"/>
      <w:bookmarkEnd w:id="106"/>
      <w:bookmarkEnd w:id="107"/>
      <w:bookmarkEnd w:id="108"/>
    </w:p>
    <w:p w14:paraId="0D58BB79">
      <w:pPr>
        <w:spacing w:line="360" w:lineRule="auto"/>
        <w:ind w:firstLine="482" w:firstLineChars="200"/>
        <w:rPr>
          <w:rFonts w:ascii="宋体" w:cs="Times New Roman"/>
          <w:sz w:val="24"/>
          <w:szCs w:val="24"/>
        </w:rPr>
      </w:pPr>
      <w:r>
        <w:rPr>
          <w:rFonts w:hint="eastAsia" w:ascii="宋体" w:hAnsi="宋体" w:cs="宋体"/>
          <w:b/>
          <w:bCs/>
          <w:sz w:val="24"/>
          <w:szCs w:val="24"/>
        </w:rPr>
        <w:t>第一百二十六条</w:t>
      </w:r>
      <w:r>
        <w:rPr>
          <w:rFonts w:hint="eastAsia" w:ascii="宋体" w:hAnsi="宋体" w:cs="宋体"/>
          <w:sz w:val="24"/>
          <w:szCs w:val="24"/>
        </w:rPr>
        <w:t xml:space="preserve">  本章程关于不得担任董事的情形，同时适用于监事。</w:t>
      </w:r>
    </w:p>
    <w:p w14:paraId="0BD809CF">
      <w:pPr>
        <w:spacing w:line="360" w:lineRule="auto"/>
        <w:ind w:firstLine="480" w:firstLineChars="200"/>
        <w:rPr>
          <w:rFonts w:ascii="宋体" w:cs="Times New Roman"/>
          <w:sz w:val="24"/>
          <w:szCs w:val="24"/>
        </w:rPr>
      </w:pPr>
      <w:r>
        <w:rPr>
          <w:rFonts w:hint="eastAsia" w:ascii="宋体" w:hAnsi="宋体" w:cs="宋体"/>
          <w:sz w:val="24"/>
          <w:szCs w:val="24"/>
        </w:rPr>
        <w:t>最近两年内曾担任过公司董事或者高级管理人员的监事人数不得超过公司监事总数的二分之一。</w:t>
      </w:r>
    </w:p>
    <w:p w14:paraId="60968BD8">
      <w:pPr>
        <w:spacing w:line="360" w:lineRule="auto"/>
        <w:ind w:firstLine="480" w:firstLineChars="200"/>
        <w:rPr>
          <w:rFonts w:ascii="宋体" w:cs="Times New Roman"/>
          <w:sz w:val="24"/>
          <w:szCs w:val="24"/>
        </w:rPr>
      </w:pPr>
      <w:r>
        <w:rPr>
          <w:rFonts w:hint="eastAsia" w:ascii="宋体" w:hAnsi="宋体" w:cs="宋体"/>
          <w:sz w:val="24"/>
          <w:szCs w:val="24"/>
        </w:rPr>
        <w:t>公司董事、高级管理人员在任期间及其配偶和直系亲属不得担任监事。</w:t>
      </w:r>
    </w:p>
    <w:p w14:paraId="401B7EDB">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第一百二十七条  </w:t>
      </w:r>
      <w:r>
        <w:rPr>
          <w:rFonts w:hint="eastAsia" w:ascii="宋体" w:hAnsi="宋体" w:cs="宋体"/>
          <w:sz w:val="24"/>
          <w:szCs w:val="24"/>
        </w:rPr>
        <w:t>监事应当遵守法律、行政法规和本章程的规定，对公司负有忠实义务和勤勉义务，不得利用职权收受贿赂或者其他非法收入，不得侵占公司的财产。</w:t>
      </w:r>
    </w:p>
    <w:p w14:paraId="04080E1F">
      <w:pPr>
        <w:spacing w:line="360" w:lineRule="auto"/>
        <w:ind w:firstLine="482" w:firstLineChars="200"/>
        <w:rPr>
          <w:rFonts w:ascii="宋体" w:cs="Times New Roman"/>
          <w:sz w:val="24"/>
          <w:szCs w:val="24"/>
        </w:rPr>
      </w:pPr>
      <w:r>
        <w:rPr>
          <w:rFonts w:hint="eastAsia" w:ascii="宋体" w:hAnsi="宋体" w:cs="宋体"/>
          <w:b/>
          <w:bCs/>
          <w:sz w:val="24"/>
          <w:szCs w:val="24"/>
        </w:rPr>
        <w:t>第一百二十八条</w:t>
      </w:r>
      <w:r>
        <w:rPr>
          <w:rFonts w:hint="eastAsia" w:ascii="宋体" w:hAnsi="宋体" w:cs="宋体"/>
          <w:sz w:val="24"/>
          <w:szCs w:val="24"/>
        </w:rPr>
        <w:t xml:space="preserve">  监事每届任期三年。监事任期届满，连选可以连任。</w:t>
      </w:r>
    </w:p>
    <w:p w14:paraId="23E54F02">
      <w:pPr>
        <w:spacing w:line="360" w:lineRule="auto"/>
        <w:ind w:firstLine="480" w:firstLineChars="200"/>
        <w:rPr>
          <w:rFonts w:ascii="宋体" w:cs="Times New Roman"/>
          <w:sz w:val="24"/>
          <w:szCs w:val="24"/>
        </w:rPr>
      </w:pPr>
      <w:r>
        <w:rPr>
          <w:rFonts w:hint="eastAsia" w:ascii="宋体" w:hAnsi="宋体" w:cs="宋体"/>
          <w:sz w:val="24"/>
          <w:szCs w:val="24"/>
        </w:rPr>
        <w:t>监事任期届满未及时改选，或者监事在任期内辞职导致监事会成员低于法定人数的，在改选出的监事就任前，原监事仍应当依照法律、行政法规和本章程的规定，履行监事职务。</w:t>
      </w:r>
    </w:p>
    <w:p w14:paraId="5503D35C">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第一百二十九条  </w:t>
      </w:r>
      <w:r>
        <w:rPr>
          <w:rFonts w:hint="eastAsia" w:ascii="宋体" w:hAnsi="宋体" w:cs="宋体"/>
          <w:sz w:val="24"/>
          <w:szCs w:val="24"/>
        </w:rPr>
        <w:t>监事可以列席董事会会议，并对董事会决议事项提出质询或者建议。</w:t>
      </w:r>
    </w:p>
    <w:p w14:paraId="7B5C4A4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第一百三十条  </w:t>
      </w:r>
      <w:r>
        <w:rPr>
          <w:rFonts w:hint="eastAsia" w:ascii="宋体" w:hAnsi="宋体" w:cs="宋体"/>
          <w:sz w:val="24"/>
          <w:szCs w:val="24"/>
        </w:rPr>
        <w:t>监事不得利用其关联关系损害公司利益，若给公司造成损失的，应当承担赔偿责任。</w:t>
      </w:r>
    </w:p>
    <w:p w14:paraId="3B421ED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第一百三十一条  </w:t>
      </w:r>
      <w:r>
        <w:rPr>
          <w:rFonts w:hint="eastAsia" w:ascii="宋体" w:hAnsi="宋体" w:cs="宋体"/>
          <w:sz w:val="24"/>
          <w:szCs w:val="24"/>
        </w:rPr>
        <w:t>监事执行公司职务时违反法律、行政法规、部门规章或本章程的规定，给公司造成损失的，应当承担赔偿责任。</w:t>
      </w:r>
    </w:p>
    <w:p w14:paraId="1F381BCF">
      <w:pPr>
        <w:pStyle w:val="3"/>
        <w:rPr>
          <w:rFonts w:cs="宋体"/>
        </w:rPr>
      </w:pPr>
      <w:bookmarkStart w:id="109" w:name="_Toc314734406"/>
      <w:bookmarkStart w:id="110" w:name="_Toc425712717"/>
      <w:bookmarkStart w:id="111" w:name="_Toc215991602"/>
      <w:bookmarkStart w:id="112" w:name="_Toc262635808"/>
      <w:bookmarkStart w:id="113" w:name="_Toc137879473"/>
      <w:bookmarkStart w:id="114" w:name="_Toc287717029"/>
      <w:r>
        <w:rPr>
          <w:rFonts w:hint="eastAsia" w:cs="宋体"/>
        </w:rPr>
        <w:t>第二节  监事会</w:t>
      </w:r>
      <w:bookmarkEnd w:id="109"/>
      <w:bookmarkEnd w:id="110"/>
      <w:bookmarkEnd w:id="111"/>
      <w:bookmarkEnd w:id="112"/>
      <w:bookmarkEnd w:id="113"/>
      <w:bookmarkEnd w:id="114"/>
    </w:p>
    <w:p w14:paraId="363FBEBF">
      <w:pPr>
        <w:tabs>
          <w:tab w:val="left" w:pos="1890"/>
          <w:tab w:val="left" w:pos="2520"/>
          <w:tab w:val="left" w:pos="3150"/>
          <w:tab w:val="left" w:pos="3780"/>
        </w:tabs>
        <w:spacing w:line="360" w:lineRule="auto"/>
        <w:ind w:firstLine="590" w:firstLineChars="245"/>
        <w:rPr>
          <w:rFonts w:ascii="宋体" w:cs="Arial"/>
          <w:sz w:val="24"/>
          <w:szCs w:val="24"/>
        </w:rPr>
      </w:pPr>
      <w:r>
        <w:rPr>
          <w:rFonts w:hint="eastAsia" w:ascii="宋体" w:hAnsi="宋体" w:cs="宋体"/>
          <w:b/>
          <w:bCs/>
          <w:sz w:val="24"/>
          <w:szCs w:val="24"/>
        </w:rPr>
        <w:t xml:space="preserve">第一百三十二条  </w:t>
      </w:r>
      <w:r>
        <w:rPr>
          <w:rFonts w:hint="eastAsia" w:ascii="宋体" w:hAnsi="宋体" w:cs="Arial"/>
          <w:sz w:val="24"/>
          <w:szCs w:val="24"/>
        </w:rPr>
        <w:t>公司设监事会。监事会由【】名监事组成，监事会设主席</w:t>
      </w:r>
      <w:r>
        <w:rPr>
          <w:rFonts w:ascii="宋体" w:hAnsi="宋体" w:cs="Arial"/>
          <w:sz w:val="24"/>
          <w:szCs w:val="24"/>
        </w:rPr>
        <w:t>1</w:t>
      </w:r>
      <w:r>
        <w:rPr>
          <w:rFonts w:hint="eastAsia" w:ascii="宋体" w:hAnsi="宋体" w:cs="Arial"/>
          <w:sz w:val="24"/>
          <w:szCs w:val="24"/>
        </w:rPr>
        <w:t>人。监事会主席由全体监事过半数选举产生。监事会主席召集和主持监事会会议；监事会主席不能履行职务或者不履行职务的，由监事会副主席召集和主持；监事会副主席不能履行职务或不履行职务的，由半数以上监事共同推举一名监事召集和主持监事会会议。</w:t>
      </w:r>
    </w:p>
    <w:p w14:paraId="7CFC24F7">
      <w:pPr>
        <w:spacing w:line="360" w:lineRule="auto"/>
        <w:ind w:firstLine="480" w:firstLineChars="200"/>
        <w:rPr>
          <w:rFonts w:ascii="宋体" w:cs="Times New Roman"/>
          <w:sz w:val="24"/>
          <w:szCs w:val="24"/>
        </w:rPr>
      </w:pPr>
      <w:r>
        <w:rPr>
          <w:rFonts w:hint="eastAsia" w:ascii="宋体" w:hAnsi="宋体" w:cs="Arial"/>
          <w:sz w:val="24"/>
          <w:szCs w:val="24"/>
        </w:rPr>
        <w:t>监事会应当包括股东代表和适当比例的公司职工代表，其中职工代表的比例不低于</w:t>
      </w:r>
      <w:r>
        <w:rPr>
          <w:rFonts w:ascii="宋体" w:hAnsi="宋体" w:cs="Arial"/>
          <w:sz w:val="24"/>
          <w:szCs w:val="24"/>
        </w:rPr>
        <w:t>1/3</w:t>
      </w:r>
      <w:r>
        <w:rPr>
          <w:rFonts w:hint="eastAsia" w:ascii="宋体" w:hAnsi="宋体" w:cs="Arial"/>
          <w:sz w:val="24"/>
          <w:szCs w:val="24"/>
        </w:rPr>
        <w:t>。监事会中的职工代表由公司职工通过职工代表大会、职工大会或者其他形式民主选举产生。</w:t>
      </w:r>
    </w:p>
    <w:p w14:paraId="331B9ED0">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第一百三十三条  </w:t>
      </w:r>
      <w:r>
        <w:rPr>
          <w:rFonts w:hint="eastAsia" w:ascii="宋体" w:hAnsi="宋体" w:cs="宋体"/>
          <w:sz w:val="24"/>
          <w:szCs w:val="24"/>
        </w:rPr>
        <w:t>监事会行使下列职权：</w:t>
      </w:r>
    </w:p>
    <w:p w14:paraId="6C9F5361">
      <w:pPr>
        <w:spacing w:line="360" w:lineRule="auto"/>
        <w:ind w:firstLine="480" w:firstLineChars="200"/>
        <w:rPr>
          <w:rFonts w:ascii="宋体" w:cs="Times New Roman"/>
          <w:sz w:val="24"/>
          <w:szCs w:val="24"/>
        </w:rPr>
      </w:pPr>
      <w:r>
        <w:rPr>
          <w:rFonts w:hint="eastAsia" w:ascii="宋体" w:hAnsi="宋体" w:cs="宋体"/>
          <w:sz w:val="24"/>
          <w:szCs w:val="24"/>
        </w:rPr>
        <w:t>（一）应当对董事会编制的公司定期报告进行审核并提出书面审核意见；</w:t>
      </w:r>
    </w:p>
    <w:p w14:paraId="4DB7DDEF">
      <w:pPr>
        <w:spacing w:line="360" w:lineRule="auto"/>
        <w:ind w:firstLine="480" w:firstLineChars="200"/>
        <w:rPr>
          <w:rFonts w:ascii="宋体" w:cs="Times New Roman"/>
          <w:sz w:val="24"/>
          <w:szCs w:val="24"/>
        </w:rPr>
      </w:pPr>
      <w:r>
        <w:rPr>
          <w:rFonts w:hint="eastAsia" w:ascii="宋体" w:hAnsi="宋体" w:cs="宋体"/>
          <w:sz w:val="24"/>
          <w:szCs w:val="24"/>
        </w:rPr>
        <w:t>（二）检查公司财务；</w:t>
      </w:r>
    </w:p>
    <w:p w14:paraId="56C06239">
      <w:pPr>
        <w:spacing w:line="360" w:lineRule="auto"/>
        <w:ind w:firstLine="480" w:firstLineChars="200"/>
        <w:rPr>
          <w:rFonts w:ascii="宋体" w:cs="Times New Roman"/>
          <w:sz w:val="24"/>
          <w:szCs w:val="24"/>
        </w:rPr>
      </w:pPr>
      <w:r>
        <w:rPr>
          <w:rFonts w:hint="eastAsia" w:ascii="宋体" w:hAnsi="宋体" w:cs="宋体"/>
          <w:sz w:val="24"/>
          <w:szCs w:val="24"/>
        </w:rPr>
        <w:t>（三）对董事、高级管理人员执行公司职务的行为进行监督，对违反法律、行政法规、本章程或者股东大会决议的董事、高级管理人员提出罢免的建议；</w:t>
      </w:r>
    </w:p>
    <w:p w14:paraId="05232E6A">
      <w:pPr>
        <w:spacing w:line="360" w:lineRule="auto"/>
        <w:ind w:firstLine="480" w:firstLineChars="200"/>
        <w:rPr>
          <w:rFonts w:ascii="宋体" w:cs="Times New Roman"/>
          <w:sz w:val="24"/>
          <w:szCs w:val="24"/>
        </w:rPr>
      </w:pPr>
      <w:r>
        <w:rPr>
          <w:rFonts w:hint="eastAsia" w:ascii="宋体" w:hAnsi="宋体" w:cs="宋体"/>
          <w:sz w:val="24"/>
          <w:szCs w:val="24"/>
        </w:rPr>
        <w:t>（四）当董事、高级管理人员的行为损害公司的利益时，要求其予以纠正；</w:t>
      </w:r>
    </w:p>
    <w:p w14:paraId="0A2CBC76">
      <w:pPr>
        <w:spacing w:line="360" w:lineRule="auto"/>
        <w:ind w:firstLine="480" w:firstLineChars="200"/>
        <w:rPr>
          <w:rFonts w:ascii="宋体" w:cs="Times New Roman"/>
          <w:sz w:val="24"/>
          <w:szCs w:val="24"/>
        </w:rPr>
      </w:pPr>
      <w:r>
        <w:rPr>
          <w:rFonts w:hint="eastAsia" w:ascii="宋体" w:hAnsi="宋体" w:cs="宋体"/>
          <w:sz w:val="24"/>
          <w:szCs w:val="24"/>
        </w:rPr>
        <w:t>（五）对法律、行政法规和本章程规定的监事会职权范围内的事项享有知情权；</w:t>
      </w:r>
    </w:p>
    <w:p w14:paraId="3C170002">
      <w:pPr>
        <w:spacing w:line="360" w:lineRule="auto"/>
        <w:ind w:firstLine="480" w:firstLineChars="200"/>
        <w:rPr>
          <w:rFonts w:ascii="宋体" w:cs="Times New Roman"/>
          <w:sz w:val="24"/>
          <w:szCs w:val="24"/>
        </w:rPr>
      </w:pPr>
      <w:r>
        <w:rPr>
          <w:rFonts w:hint="eastAsia" w:ascii="宋体" w:hAnsi="宋体" w:cs="宋体"/>
          <w:sz w:val="24"/>
          <w:szCs w:val="24"/>
        </w:rPr>
        <w:t>（六）提议召开临时股东大会，在董事会不履行《公司法》规定的召集和主持股东大会职责时召集和主持股东大会；</w:t>
      </w:r>
    </w:p>
    <w:p w14:paraId="784879EB">
      <w:pPr>
        <w:spacing w:line="360" w:lineRule="auto"/>
        <w:ind w:firstLine="480" w:firstLineChars="200"/>
        <w:rPr>
          <w:rFonts w:ascii="宋体" w:cs="Times New Roman"/>
          <w:sz w:val="24"/>
          <w:szCs w:val="24"/>
        </w:rPr>
      </w:pPr>
      <w:r>
        <w:rPr>
          <w:rFonts w:hint="eastAsia" w:ascii="宋体" w:hAnsi="宋体" w:cs="宋体"/>
          <w:sz w:val="24"/>
          <w:szCs w:val="24"/>
        </w:rPr>
        <w:t>（七）向股东大会提出提案；</w:t>
      </w:r>
    </w:p>
    <w:p w14:paraId="606538FA">
      <w:pPr>
        <w:spacing w:line="360" w:lineRule="auto"/>
        <w:ind w:firstLine="480" w:firstLineChars="200"/>
        <w:rPr>
          <w:rFonts w:ascii="宋体" w:cs="Times New Roman"/>
          <w:sz w:val="24"/>
          <w:szCs w:val="24"/>
        </w:rPr>
      </w:pPr>
      <w:r>
        <w:rPr>
          <w:rFonts w:hint="eastAsia" w:ascii="宋体" w:hAnsi="宋体" w:cs="宋体"/>
          <w:sz w:val="24"/>
          <w:szCs w:val="24"/>
        </w:rPr>
        <w:t>（八）依照《公司法》第一百五十二条的规定，对董事、高级管理人员提起诉讼；</w:t>
      </w:r>
    </w:p>
    <w:p w14:paraId="1D5D4D4D">
      <w:pPr>
        <w:spacing w:line="360" w:lineRule="auto"/>
        <w:ind w:firstLine="480" w:firstLineChars="200"/>
        <w:rPr>
          <w:rFonts w:ascii="宋体" w:cs="Times New Roman"/>
          <w:sz w:val="24"/>
          <w:szCs w:val="24"/>
        </w:rPr>
      </w:pPr>
      <w:r>
        <w:rPr>
          <w:rFonts w:hint="eastAsia" w:ascii="宋体" w:hAnsi="宋体" w:cs="宋体"/>
          <w:sz w:val="24"/>
          <w:szCs w:val="24"/>
        </w:rPr>
        <w:t>（九）发现公司经营情况异常，可以进行调查；必要时，可以聘请会计师事务所、律师事务所等专业机构协助其工作，费用由公司承担；</w:t>
      </w:r>
    </w:p>
    <w:p w14:paraId="0720E2E2">
      <w:pPr>
        <w:spacing w:line="360" w:lineRule="auto"/>
        <w:ind w:firstLine="480" w:firstLineChars="200"/>
        <w:rPr>
          <w:rFonts w:ascii="宋体" w:cs="Times New Roman"/>
          <w:sz w:val="24"/>
          <w:szCs w:val="24"/>
        </w:rPr>
      </w:pPr>
      <w:r>
        <w:rPr>
          <w:rFonts w:hint="eastAsia" w:ascii="宋体" w:hAnsi="宋体" w:cs="宋体"/>
          <w:sz w:val="24"/>
          <w:szCs w:val="24"/>
        </w:rPr>
        <w:t>（十）本章程规定或股东大会授予的其他职权。</w:t>
      </w:r>
    </w:p>
    <w:p w14:paraId="6C9508E7">
      <w:pPr>
        <w:spacing w:line="360" w:lineRule="auto"/>
        <w:ind w:firstLine="482" w:firstLineChars="200"/>
        <w:rPr>
          <w:rFonts w:ascii="宋体" w:cs="Times New Roman"/>
          <w:sz w:val="24"/>
          <w:szCs w:val="24"/>
        </w:rPr>
      </w:pPr>
      <w:r>
        <w:rPr>
          <w:rFonts w:hint="eastAsia" w:ascii="宋体" w:hAnsi="宋体" w:cs="宋体"/>
          <w:b/>
          <w:bCs/>
          <w:sz w:val="24"/>
          <w:szCs w:val="24"/>
        </w:rPr>
        <w:t>第一百三十四条</w:t>
      </w:r>
      <w:r>
        <w:rPr>
          <w:rFonts w:hint="eastAsia" w:ascii="宋体" w:hAnsi="宋体" w:cs="宋体"/>
          <w:sz w:val="24"/>
          <w:szCs w:val="24"/>
        </w:rPr>
        <w:t xml:space="preserve">  监事会每</w:t>
      </w:r>
      <w:r>
        <w:rPr>
          <w:rFonts w:ascii="宋体" w:hAnsi="宋体" w:cs="宋体"/>
          <w:sz w:val="24"/>
          <w:szCs w:val="24"/>
        </w:rPr>
        <w:t>6</w:t>
      </w:r>
      <w:r>
        <w:rPr>
          <w:rFonts w:hint="eastAsia" w:ascii="宋体" w:hAnsi="宋体" w:cs="宋体"/>
          <w:sz w:val="24"/>
          <w:szCs w:val="24"/>
        </w:rPr>
        <w:t>个月至少召开一次会议。监事可以提议召开临时监事会会议。</w:t>
      </w:r>
    </w:p>
    <w:p w14:paraId="566C33C2">
      <w:pPr>
        <w:spacing w:line="360" w:lineRule="auto"/>
        <w:ind w:firstLine="480" w:firstLineChars="200"/>
        <w:rPr>
          <w:rFonts w:ascii="宋体" w:cs="Times New Roman"/>
          <w:sz w:val="24"/>
          <w:szCs w:val="24"/>
        </w:rPr>
      </w:pPr>
      <w:r>
        <w:rPr>
          <w:rFonts w:hint="eastAsia" w:ascii="宋体" w:hAnsi="宋体" w:cs="宋体"/>
          <w:sz w:val="24"/>
          <w:szCs w:val="24"/>
        </w:rPr>
        <w:t>监事会决议应当经半数以上监事通过。</w:t>
      </w:r>
    </w:p>
    <w:p w14:paraId="10CCAACB">
      <w:pPr>
        <w:spacing w:line="360" w:lineRule="auto"/>
        <w:ind w:firstLine="482" w:firstLineChars="200"/>
        <w:rPr>
          <w:rFonts w:ascii="宋体" w:cs="Arial"/>
          <w:sz w:val="24"/>
          <w:szCs w:val="24"/>
        </w:rPr>
      </w:pPr>
      <w:r>
        <w:rPr>
          <w:rFonts w:hint="eastAsia" w:ascii="宋体" w:hAnsi="宋体" w:cs="宋体"/>
          <w:b/>
          <w:bCs/>
          <w:sz w:val="24"/>
          <w:szCs w:val="24"/>
        </w:rPr>
        <w:t xml:space="preserve">第一百三十五条  </w:t>
      </w:r>
      <w:r>
        <w:rPr>
          <w:rFonts w:hint="eastAsia" w:ascii="宋体" w:hAnsi="宋体" w:cs="Arial"/>
          <w:sz w:val="24"/>
          <w:szCs w:val="24"/>
        </w:rPr>
        <w:t>监事会可以制定监事会议事规则，明确监事会的议事方式和表决程序，以确保监事会的工作效率和科学决策。监事会议事规则规定监事会的召开和表决程序。监事会议事规则作为本章程的附件，由监事会拟定，股东大会批准。如监事会议事规则与公司章程存在相互冲突之处，应以公司章程为准。</w:t>
      </w:r>
    </w:p>
    <w:p w14:paraId="360E459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第一百三十六条  </w:t>
      </w:r>
      <w:r>
        <w:rPr>
          <w:rFonts w:hint="eastAsia" w:ascii="宋体" w:hAnsi="宋体" w:cs="宋体"/>
          <w:sz w:val="24"/>
          <w:szCs w:val="24"/>
        </w:rPr>
        <w:t>监事会应当将所议事项的决定做成会议记录，出席会议的监事应当在会议记录上签名。</w:t>
      </w:r>
    </w:p>
    <w:p w14:paraId="2C258F7D">
      <w:pPr>
        <w:spacing w:line="360" w:lineRule="auto"/>
        <w:ind w:firstLine="480" w:firstLineChars="200"/>
        <w:rPr>
          <w:rFonts w:ascii="宋体" w:cs="Times New Roman"/>
          <w:sz w:val="24"/>
          <w:szCs w:val="24"/>
        </w:rPr>
      </w:pPr>
      <w:r>
        <w:rPr>
          <w:rFonts w:hint="eastAsia" w:ascii="宋体" w:hAnsi="宋体" w:cs="宋体"/>
          <w:sz w:val="24"/>
          <w:szCs w:val="24"/>
        </w:rPr>
        <w:t>监事有权要求在记录上对其在会议上的发言作出某种说明性记载。监事会会议记录作为公司档案由董事会秘书保存，保管期限为</w:t>
      </w:r>
      <w:r>
        <w:rPr>
          <w:rFonts w:ascii="宋体" w:hAnsi="宋体" w:cs="宋体"/>
          <w:sz w:val="24"/>
          <w:szCs w:val="24"/>
        </w:rPr>
        <w:t>10</w:t>
      </w:r>
      <w:r>
        <w:rPr>
          <w:rFonts w:hint="eastAsia" w:ascii="宋体" w:hAnsi="宋体" w:cs="宋体"/>
          <w:sz w:val="24"/>
          <w:szCs w:val="24"/>
        </w:rPr>
        <w:t>年。</w:t>
      </w:r>
    </w:p>
    <w:p w14:paraId="0B039CAC">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第一百三十七条  </w:t>
      </w:r>
      <w:r>
        <w:rPr>
          <w:rFonts w:hint="eastAsia" w:ascii="宋体" w:hAnsi="宋体" w:cs="宋体"/>
          <w:sz w:val="24"/>
          <w:szCs w:val="24"/>
        </w:rPr>
        <w:t>监事会会议通知包括以下内容：</w:t>
      </w:r>
    </w:p>
    <w:p w14:paraId="62BE5BFC">
      <w:pPr>
        <w:spacing w:line="360" w:lineRule="auto"/>
        <w:ind w:firstLine="480" w:firstLineChars="200"/>
        <w:rPr>
          <w:rFonts w:ascii="宋体" w:cs="Times New Roman"/>
          <w:sz w:val="24"/>
          <w:szCs w:val="24"/>
        </w:rPr>
      </w:pPr>
      <w:r>
        <w:rPr>
          <w:rFonts w:hint="eastAsia" w:ascii="宋体" w:hAnsi="宋体" w:cs="宋体"/>
          <w:sz w:val="24"/>
          <w:szCs w:val="24"/>
        </w:rPr>
        <w:t>（一）举行会议的日期、地点和会议期限；</w:t>
      </w:r>
    </w:p>
    <w:p w14:paraId="24E6D2B9">
      <w:pPr>
        <w:spacing w:line="360" w:lineRule="auto"/>
        <w:ind w:firstLine="480" w:firstLineChars="200"/>
        <w:rPr>
          <w:rFonts w:ascii="宋体" w:cs="宋体"/>
          <w:sz w:val="24"/>
          <w:szCs w:val="24"/>
        </w:rPr>
      </w:pPr>
      <w:r>
        <w:rPr>
          <w:rFonts w:hint="eastAsia" w:ascii="宋体" w:hAnsi="宋体" w:cs="宋体"/>
          <w:sz w:val="24"/>
          <w:szCs w:val="24"/>
        </w:rPr>
        <w:t>（二）事由及议题；</w:t>
      </w:r>
    </w:p>
    <w:p w14:paraId="17B3AC2C">
      <w:pPr>
        <w:spacing w:line="360" w:lineRule="auto"/>
        <w:ind w:firstLine="480" w:firstLineChars="200"/>
        <w:rPr>
          <w:rFonts w:ascii="宋体" w:cs="Times New Roman"/>
          <w:sz w:val="24"/>
          <w:szCs w:val="24"/>
        </w:rPr>
      </w:pPr>
      <w:r>
        <w:rPr>
          <w:rFonts w:hint="eastAsia" w:ascii="宋体" w:hAnsi="宋体" w:cs="宋体"/>
          <w:sz w:val="24"/>
          <w:szCs w:val="24"/>
        </w:rPr>
        <w:t>（三）会议形式；</w:t>
      </w:r>
    </w:p>
    <w:p w14:paraId="2CB6AD58">
      <w:pPr>
        <w:spacing w:line="360" w:lineRule="auto"/>
        <w:ind w:firstLine="480" w:firstLineChars="200"/>
        <w:rPr>
          <w:rFonts w:ascii="宋体" w:cs="宋体"/>
          <w:sz w:val="24"/>
          <w:szCs w:val="24"/>
        </w:rPr>
      </w:pPr>
      <w:r>
        <w:rPr>
          <w:rFonts w:hint="eastAsia" w:ascii="宋体" w:hAnsi="宋体" w:cs="宋体"/>
          <w:sz w:val="24"/>
          <w:szCs w:val="24"/>
        </w:rPr>
        <w:t>（四）发出通知的日期。</w:t>
      </w:r>
    </w:p>
    <w:p w14:paraId="19449B31">
      <w:pPr>
        <w:pStyle w:val="2"/>
        <w:rPr>
          <w:rFonts w:ascii="宋体" w:hAnsi="宋体" w:cs="宋体"/>
          <w:sz w:val="28"/>
          <w:szCs w:val="28"/>
        </w:rPr>
      </w:pPr>
      <w:bookmarkStart w:id="115" w:name="好的"/>
      <w:bookmarkEnd w:id="115"/>
      <w:bookmarkStart w:id="116" w:name="_Toc262635809"/>
      <w:bookmarkStart w:id="117" w:name="_Toc287717030"/>
      <w:bookmarkStart w:id="118" w:name="_Toc215991603"/>
      <w:bookmarkStart w:id="119" w:name="_Toc137879474"/>
      <w:bookmarkStart w:id="120" w:name="_Toc314734407"/>
      <w:bookmarkStart w:id="121" w:name="_Toc425712718"/>
      <w:r>
        <w:rPr>
          <w:rFonts w:hint="eastAsia" w:ascii="宋体" w:hAnsi="宋体" w:cs="宋体"/>
          <w:sz w:val="28"/>
          <w:szCs w:val="28"/>
        </w:rPr>
        <w:t>第八章   财务会计制度、利润分配和审计</w:t>
      </w:r>
      <w:bookmarkEnd w:id="116"/>
      <w:bookmarkEnd w:id="117"/>
      <w:bookmarkEnd w:id="118"/>
      <w:bookmarkEnd w:id="119"/>
      <w:bookmarkEnd w:id="120"/>
      <w:bookmarkEnd w:id="121"/>
    </w:p>
    <w:p w14:paraId="3CE83483">
      <w:pPr>
        <w:pStyle w:val="3"/>
        <w:rPr>
          <w:rFonts w:cs="宋体"/>
        </w:rPr>
      </w:pPr>
      <w:bookmarkStart w:id="122" w:name="_Toc314734408"/>
      <w:bookmarkStart w:id="123" w:name="_Toc262635810"/>
      <w:bookmarkStart w:id="124" w:name="_Toc425712719"/>
      <w:bookmarkStart w:id="125" w:name="_Toc215991604"/>
      <w:bookmarkStart w:id="126" w:name="_Toc137879475"/>
      <w:bookmarkStart w:id="127" w:name="_Toc287717031"/>
      <w:r>
        <w:rPr>
          <w:rFonts w:hint="eastAsia" w:cs="宋体"/>
        </w:rPr>
        <w:t>第一节  财务会计制度</w:t>
      </w:r>
      <w:bookmarkEnd w:id="122"/>
      <w:bookmarkEnd w:id="123"/>
      <w:bookmarkEnd w:id="124"/>
      <w:bookmarkEnd w:id="125"/>
      <w:bookmarkEnd w:id="126"/>
      <w:bookmarkEnd w:id="127"/>
    </w:p>
    <w:p w14:paraId="2EF0DE52">
      <w:pPr>
        <w:spacing w:line="360" w:lineRule="auto"/>
        <w:ind w:firstLine="482" w:firstLineChars="200"/>
        <w:rPr>
          <w:rFonts w:ascii="宋体" w:cs="Times New Roman"/>
          <w:sz w:val="24"/>
          <w:szCs w:val="24"/>
        </w:rPr>
      </w:pPr>
      <w:r>
        <w:rPr>
          <w:rFonts w:hint="eastAsia" w:ascii="宋体" w:hAnsi="宋体" w:cs="宋体"/>
          <w:b/>
          <w:bCs/>
          <w:sz w:val="24"/>
          <w:szCs w:val="24"/>
        </w:rPr>
        <w:t>第一百三十八条</w:t>
      </w:r>
      <w:r>
        <w:rPr>
          <w:rFonts w:hint="eastAsia" w:ascii="宋体" w:hAnsi="宋体" w:cs="宋体"/>
          <w:sz w:val="24"/>
          <w:szCs w:val="24"/>
        </w:rPr>
        <w:t xml:space="preserve">  公司依照法律、行政法规和国家有关部门的规定，制定本公司的财务会计制度。</w:t>
      </w:r>
    </w:p>
    <w:p w14:paraId="040AFB01">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第一百三十九条  </w:t>
      </w:r>
      <w:r>
        <w:rPr>
          <w:rFonts w:hint="eastAsia" w:ascii="宋体" w:hAnsi="宋体" w:cs="宋体"/>
          <w:sz w:val="24"/>
          <w:szCs w:val="24"/>
        </w:rPr>
        <w:t>公司除法定的会计帐簿外，不另立会计帐簿。公司的资产，不以任何个人名义开立帐户存储。</w:t>
      </w:r>
    </w:p>
    <w:p w14:paraId="18D24C45">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第一百四十条  </w:t>
      </w:r>
      <w:r>
        <w:rPr>
          <w:rFonts w:hint="eastAsia" w:ascii="宋体" w:hAnsi="宋体" w:cs="宋体"/>
          <w:sz w:val="24"/>
          <w:szCs w:val="24"/>
        </w:rPr>
        <w:t>公司分配当年税后利润时，应当提取利润的</w:t>
      </w:r>
      <w:r>
        <w:rPr>
          <w:rFonts w:ascii="宋体" w:hAnsi="宋体" w:cs="宋体"/>
          <w:sz w:val="24"/>
          <w:szCs w:val="24"/>
        </w:rPr>
        <w:t>10%</w:t>
      </w:r>
      <w:r>
        <w:rPr>
          <w:rFonts w:hint="eastAsia" w:ascii="宋体" w:hAnsi="宋体" w:cs="宋体"/>
          <w:sz w:val="24"/>
          <w:szCs w:val="24"/>
        </w:rPr>
        <w:t>列入公司法定公积金。公司法定公积金累计额为公司注册资本的</w:t>
      </w:r>
      <w:r>
        <w:rPr>
          <w:rFonts w:ascii="宋体" w:hAnsi="宋体" w:cs="宋体"/>
          <w:sz w:val="24"/>
          <w:szCs w:val="24"/>
        </w:rPr>
        <w:t>50%</w:t>
      </w:r>
      <w:r>
        <w:rPr>
          <w:rFonts w:hint="eastAsia" w:ascii="宋体" w:hAnsi="宋体" w:cs="宋体"/>
          <w:sz w:val="24"/>
          <w:szCs w:val="24"/>
        </w:rPr>
        <w:t>以上的，可以不再提取。</w:t>
      </w:r>
    </w:p>
    <w:p w14:paraId="6CE3D8D4">
      <w:pPr>
        <w:spacing w:line="360" w:lineRule="auto"/>
        <w:ind w:firstLine="480" w:firstLineChars="200"/>
        <w:rPr>
          <w:rFonts w:ascii="宋体" w:cs="Times New Roman"/>
          <w:sz w:val="24"/>
          <w:szCs w:val="24"/>
        </w:rPr>
      </w:pPr>
      <w:r>
        <w:rPr>
          <w:rFonts w:hint="eastAsia" w:ascii="宋体" w:hAnsi="宋体" w:cs="宋体"/>
          <w:sz w:val="24"/>
          <w:szCs w:val="24"/>
        </w:rPr>
        <w:t>公司的法定公积金不足以弥补以前年度亏损的，在依照前款规定提取法定公积金之前，应当先用当年利润弥补亏损。</w:t>
      </w:r>
    </w:p>
    <w:p w14:paraId="1A9CEEBE">
      <w:pPr>
        <w:spacing w:line="360" w:lineRule="auto"/>
        <w:ind w:firstLine="480" w:firstLineChars="200"/>
        <w:rPr>
          <w:rFonts w:ascii="宋体" w:cs="Times New Roman"/>
          <w:sz w:val="24"/>
          <w:szCs w:val="24"/>
        </w:rPr>
      </w:pPr>
      <w:r>
        <w:rPr>
          <w:rFonts w:hint="eastAsia" w:ascii="宋体" w:hAnsi="宋体" w:cs="宋体"/>
          <w:sz w:val="24"/>
          <w:szCs w:val="24"/>
        </w:rPr>
        <w:t>公司从税后利润中提取法定公积金后，经股东大会决议，还可以从税后利润中提取任意公积金。</w:t>
      </w:r>
    </w:p>
    <w:p w14:paraId="48BD6ECF">
      <w:pPr>
        <w:spacing w:line="360" w:lineRule="auto"/>
        <w:ind w:firstLine="480" w:firstLineChars="200"/>
        <w:rPr>
          <w:rFonts w:ascii="宋体" w:cs="Times New Roman"/>
          <w:sz w:val="24"/>
          <w:szCs w:val="24"/>
        </w:rPr>
      </w:pPr>
      <w:r>
        <w:rPr>
          <w:rFonts w:hint="eastAsia" w:ascii="宋体" w:hAnsi="宋体" w:cs="宋体"/>
          <w:sz w:val="24"/>
          <w:szCs w:val="24"/>
        </w:rPr>
        <w:t>公司弥补亏损和提取公积金后所余税后利润，按照股东持有的股份比例分配，但本章程规定不按持股比例分配的除外。</w:t>
      </w:r>
    </w:p>
    <w:p w14:paraId="7E96530B">
      <w:pPr>
        <w:spacing w:line="360" w:lineRule="auto"/>
        <w:ind w:firstLine="480" w:firstLineChars="200"/>
        <w:rPr>
          <w:rFonts w:ascii="宋体" w:cs="Times New Roman"/>
          <w:sz w:val="24"/>
          <w:szCs w:val="24"/>
        </w:rPr>
      </w:pPr>
      <w:r>
        <w:rPr>
          <w:rFonts w:hint="eastAsia" w:ascii="宋体" w:hAnsi="宋体" w:cs="宋体"/>
          <w:sz w:val="24"/>
          <w:szCs w:val="24"/>
        </w:rPr>
        <w:t>股东大会违反前款规定，在公司弥补亏损和提取法定公积金之前向股东分配利润的，股东必须将违反规定分配的利润退还公司。</w:t>
      </w:r>
    </w:p>
    <w:p w14:paraId="5C6133D1">
      <w:pPr>
        <w:spacing w:line="360" w:lineRule="auto"/>
        <w:ind w:firstLine="480" w:firstLineChars="200"/>
        <w:rPr>
          <w:rFonts w:ascii="宋体" w:cs="Times New Roman"/>
          <w:sz w:val="24"/>
          <w:szCs w:val="24"/>
        </w:rPr>
      </w:pPr>
      <w:r>
        <w:rPr>
          <w:rFonts w:hint="eastAsia" w:ascii="宋体" w:hAnsi="宋体" w:cs="宋体"/>
          <w:sz w:val="24"/>
          <w:szCs w:val="24"/>
        </w:rPr>
        <w:t>公司持有的本公司股份不参与分配利润。</w:t>
      </w:r>
    </w:p>
    <w:p w14:paraId="65B3C90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第一百四十一条  </w:t>
      </w:r>
      <w:r>
        <w:rPr>
          <w:rFonts w:hint="eastAsia" w:ascii="宋体" w:hAnsi="宋体" w:cs="宋体"/>
          <w:sz w:val="24"/>
          <w:szCs w:val="24"/>
        </w:rPr>
        <w:t>公司的公积金用于弥补公司的亏损、扩大公司生产经营或者转为增加公司资本。但是，资本公积金将不用于弥补公司的亏损。</w:t>
      </w:r>
    </w:p>
    <w:p w14:paraId="623A9B44">
      <w:pPr>
        <w:spacing w:line="360" w:lineRule="auto"/>
        <w:ind w:firstLine="480" w:firstLineChars="200"/>
        <w:rPr>
          <w:rFonts w:ascii="宋体" w:cs="Times New Roman"/>
          <w:sz w:val="24"/>
          <w:szCs w:val="24"/>
        </w:rPr>
      </w:pPr>
      <w:r>
        <w:rPr>
          <w:rFonts w:hint="eastAsia" w:ascii="宋体" w:hAnsi="宋体" w:cs="宋体"/>
          <w:sz w:val="24"/>
          <w:szCs w:val="24"/>
        </w:rPr>
        <w:t>法定公积金转为资本时，所留存的该项公积金将不少于转增前公司注册资本的</w:t>
      </w:r>
      <w:r>
        <w:rPr>
          <w:rFonts w:ascii="宋体" w:hAnsi="宋体" w:cs="宋体"/>
          <w:sz w:val="24"/>
          <w:szCs w:val="24"/>
        </w:rPr>
        <w:t>25%</w:t>
      </w:r>
      <w:r>
        <w:rPr>
          <w:rFonts w:hint="eastAsia" w:ascii="宋体" w:hAnsi="宋体" w:cs="宋体"/>
          <w:sz w:val="24"/>
          <w:szCs w:val="24"/>
        </w:rPr>
        <w:t>。</w:t>
      </w:r>
    </w:p>
    <w:p w14:paraId="3B23EA6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第一百四十二条  </w:t>
      </w:r>
      <w:r>
        <w:rPr>
          <w:rFonts w:hint="eastAsia" w:ascii="宋体" w:hAnsi="宋体" w:cs="宋体"/>
          <w:sz w:val="24"/>
          <w:szCs w:val="24"/>
        </w:rPr>
        <w:t>公司股东大会对利润分配方案作出决议后，公司董事会须在股东大会召开后</w:t>
      </w:r>
      <w:r>
        <w:rPr>
          <w:rFonts w:ascii="宋体" w:hAnsi="宋体" w:cs="宋体"/>
          <w:sz w:val="24"/>
          <w:szCs w:val="24"/>
        </w:rPr>
        <w:t>2</w:t>
      </w:r>
      <w:r>
        <w:rPr>
          <w:rFonts w:hint="eastAsia" w:ascii="宋体" w:hAnsi="宋体" w:cs="宋体"/>
          <w:sz w:val="24"/>
          <w:szCs w:val="24"/>
        </w:rPr>
        <w:t>个月内完成股利（或股份）的派发事项。</w:t>
      </w:r>
    </w:p>
    <w:p w14:paraId="752A2555">
      <w:pPr>
        <w:spacing w:line="360" w:lineRule="auto"/>
        <w:ind w:firstLine="482" w:firstLineChars="200"/>
        <w:rPr>
          <w:rFonts w:ascii="宋体" w:cs="Times New Roman"/>
          <w:sz w:val="24"/>
          <w:szCs w:val="24"/>
        </w:rPr>
      </w:pPr>
      <w:r>
        <w:rPr>
          <w:rFonts w:hint="eastAsia" w:ascii="宋体" w:hAnsi="宋体" w:cs="宋体"/>
          <w:b/>
          <w:bCs/>
          <w:sz w:val="24"/>
          <w:szCs w:val="24"/>
        </w:rPr>
        <w:t>第一百四十三条</w:t>
      </w:r>
      <w:bookmarkStart w:id="128" w:name="_Toc137879476"/>
      <w:bookmarkStart w:id="129" w:name="_Toc215991605"/>
      <w:r>
        <w:rPr>
          <w:rFonts w:hint="eastAsia" w:ascii="宋体" w:hAnsi="宋体" w:cs="宋体"/>
          <w:b/>
          <w:bCs/>
          <w:sz w:val="24"/>
          <w:szCs w:val="24"/>
        </w:rPr>
        <w:t xml:space="preserve">  </w:t>
      </w:r>
      <w:r>
        <w:rPr>
          <w:rFonts w:hint="eastAsia" w:ascii="宋体" w:hAnsi="宋体" w:cs="宋体"/>
          <w:sz w:val="24"/>
          <w:szCs w:val="24"/>
        </w:rPr>
        <w:t>公司可以采取现金或者股票方式分配股利。</w:t>
      </w:r>
      <w:bookmarkEnd w:id="128"/>
      <w:bookmarkEnd w:id="129"/>
    </w:p>
    <w:p w14:paraId="660D8F87">
      <w:pPr>
        <w:pStyle w:val="3"/>
        <w:rPr>
          <w:rFonts w:cs="宋体"/>
        </w:rPr>
      </w:pPr>
      <w:bookmarkStart w:id="130" w:name="_Toc137879477"/>
      <w:bookmarkStart w:id="131" w:name="_Toc314734410"/>
      <w:bookmarkStart w:id="132" w:name="_Toc425712720"/>
      <w:bookmarkStart w:id="133" w:name="_Toc215991606"/>
      <w:bookmarkStart w:id="134" w:name="_Toc287717033"/>
      <w:bookmarkStart w:id="135" w:name="_Toc262635812"/>
      <w:r>
        <w:rPr>
          <w:rFonts w:hint="eastAsia" w:cs="宋体"/>
        </w:rPr>
        <w:t>第二节  会计师事务所的聘任</w:t>
      </w:r>
      <w:bookmarkEnd w:id="130"/>
      <w:bookmarkEnd w:id="131"/>
      <w:bookmarkEnd w:id="132"/>
      <w:bookmarkEnd w:id="133"/>
      <w:bookmarkEnd w:id="134"/>
      <w:bookmarkEnd w:id="135"/>
    </w:p>
    <w:p w14:paraId="0AB6E896">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第一百四十四条  </w:t>
      </w:r>
      <w:r>
        <w:rPr>
          <w:rFonts w:hint="eastAsia" w:ascii="宋体" w:hAnsi="宋体" w:cs="宋体"/>
          <w:sz w:val="24"/>
          <w:szCs w:val="24"/>
        </w:rPr>
        <w:t>公司聘用取得“从事证券相关业务资格”的会计师事务所进行会计报表审计，净资产验证及其他相关咨询服务等业务，聘期</w:t>
      </w:r>
      <w:r>
        <w:rPr>
          <w:rFonts w:ascii="宋体" w:hAnsi="宋体" w:cs="宋体"/>
          <w:sz w:val="24"/>
          <w:szCs w:val="24"/>
        </w:rPr>
        <w:t>1</w:t>
      </w:r>
      <w:r>
        <w:rPr>
          <w:rFonts w:hint="eastAsia" w:ascii="宋体" w:hAnsi="宋体" w:cs="宋体"/>
          <w:sz w:val="24"/>
          <w:szCs w:val="24"/>
        </w:rPr>
        <w:t>年，可以续聘。</w:t>
      </w:r>
    </w:p>
    <w:p w14:paraId="7B444435">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第一百四十五条  </w:t>
      </w:r>
      <w:r>
        <w:rPr>
          <w:rFonts w:hint="eastAsia" w:ascii="宋体" w:hAnsi="宋体" w:cs="宋体"/>
          <w:sz w:val="24"/>
          <w:szCs w:val="24"/>
        </w:rPr>
        <w:t>公司聘用会计师事务所必须由股东大会决定，董事会不得在股东大会决定前委任会计师事务所。</w:t>
      </w:r>
    </w:p>
    <w:p w14:paraId="61C2DE43">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第一百四十六条  </w:t>
      </w:r>
      <w:r>
        <w:rPr>
          <w:rFonts w:hint="eastAsia" w:ascii="宋体" w:hAnsi="宋体" w:cs="宋体"/>
          <w:sz w:val="24"/>
          <w:szCs w:val="24"/>
        </w:rPr>
        <w:t>公司保证向聘用的会计师事务所提供真实、完整的会计凭证、会计账簿、财务会计报告及其他会计资料，不得拒绝、隐匿、谎报。</w:t>
      </w:r>
    </w:p>
    <w:p w14:paraId="3B0F15C1">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第一百四十七条  </w:t>
      </w:r>
      <w:r>
        <w:rPr>
          <w:rFonts w:hint="eastAsia" w:ascii="宋体" w:hAnsi="宋体" w:cs="宋体"/>
          <w:sz w:val="24"/>
          <w:szCs w:val="24"/>
        </w:rPr>
        <w:t>公司解聘或续聘会计师事务所由股东大会作出决定。</w:t>
      </w:r>
    </w:p>
    <w:p w14:paraId="45E9A8D0">
      <w:pPr>
        <w:spacing w:line="360" w:lineRule="auto"/>
        <w:ind w:firstLine="480" w:firstLineChars="200"/>
        <w:rPr>
          <w:rFonts w:ascii="宋体" w:cs="Times New Roman"/>
          <w:sz w:val="24"/>
          <w:szCs w:val="24"/>
        </w:rPr>
      </w:pPr>
      <w:r>
        <w:rPr>
          <w:rFonts w:hint="eastAsia" w:ascii="宋体" w:hAnsi="宋体" w:cs="宋体"/>
          <w:sz w:val="24"/>
          <w:szCs w:val="24"/>
        </w:rPr>
        <w:t>公司解聘或不再续聘会计师事务所的，提前</w:t>
      </w:r>
      <w:r>
        <w:rPr>
          <w:rFonts w:ascii="宋体" w:hAnsi="宋体" w:cs="宋体"/>
          <w:sz w:val="24"/>
          <w:szCs w:val="24"/>
          <w:lang w:val="en-GB"/>
        </w:rPr>
        <w:t>30</w:t>
      </w:r>
      <w:r>
        <w:rPr>
          <w:rFonts w:hint="eastAsia" w:ascii="宋体" w:hAnsi="宋体" w:cs="宋体"/>
          <w:sz w:val="24"/>
          <w:szCs w:val="24"/>
        </w:rPr>
        <w:t>天事先通知会计师事务所，公司股东大会就解聘会计师事务所进行表决时，允许会计师事务所陈述意见。</w:t>
      </w:r>
    </w:p>
    <w:p w14:paraId="31BE437B">
      <w:pPr>
        <w:spacing w:line="360" w:lineRule="auto"/>
        <w:ind w:firstLine="480" w:firstLineChars="200"/>
        <w:rPr>
          <w:rFonts w:ascii="宋体" w:cs="宋体"/>
          <w:sz w:val="24"/>
          <w:szCs w:val="24"/>
        </w:rPr>
      </w:pPr>
      <w:r>
        <w:rPr>
          <w:rFonts w:hint="eastAsia" w:ascii="宋体" w:hAnsi="宋体" w:cs="宋体"/>
          <w:sz w:val="24"/>
          <w:szCs w:val="24"/>
        </w:rPr>
        <w:t>会计师事务所提出辞聘的，应当向股东大会说明公司有无不当情形。</w:t>
      </w:r>
    </w:p>
    <w:p w14:paraId="5577A285">
      <w:pPr>
        <w:pStyle w:val="2"/>
        <w:rPr>
          <w:rFonts w:ascii="宋体" w:hAnsi="宋体" w:cs="宋体"/>
          <w:sz w:val="28"/>
          <w:szCs w:val="28"/>
        </w:rPr>
      </w:pPr>
      <w:bookmarkStart w:id="136" w:name="_Toc137879478"/>
      <w:bookmarkStart w:id="137" w:name="_Toc262635813"/>
      <w:bookmarkStart w:id="138" w:name="_Toc314734411"/>
      <w:bookmarkStart w:id="139" w:name="_Toc215991607"/>
      <w:bookmarkStart w:id="140" w:name="_Toc287717034"/>
      <w:bookmarkStart w:id="141" w:name="_Toc425712721"/>
      <w:r>
        <w:rPr>
          <w:rFonts w:hint="eastAsia" w:ascii="宋体" w:hAnsi="宋体" w:cs="宋体"/>
          <w:sz w:val="28"/>
          <w:szCs w:val="28"/>
        </w:rPr>
        <w:t>第九章   通  知</w:t>
      </w:r>
      <w:bookmarkEnd w:id="136"/>
      <w:bookmarkEnd w:id="137"/>
      <w:bookmarkEnd w:id="138"/>
      <w:bookmarkEnd w:id="139"/>
      <w:bookmarkEnd w:id="140"/>
      <w:bookmarkEnd w:id="141"/>
    </w:p>
    <w:p w14:paraId="178F3345">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第一百四十八条  </w:t>
      </w:r>
      <w:r>
        <w:rPr>
          <w:rFonts w:hint="eastAsia" w:ascii="宋体" w:hAnsi="宋体" w:cs="宋体"/>
          <w:sz w:val="24"/>
          <w:szCs w:val="24"/>
        </w:rPr>
        <w:t>公司的通知以下列方式发出：</w:t>
      </w:r>
    </w:p>
    <w:p w14:paraId="382EFADF">
      <w:pPr>
        <w:autoSpaceDE w:val="0"/>
        <w:autoSpaceDN w:val="0"/>
        <w:spacing w:line="360" w:lineRule="auto"/>
        <w:ind w:firstLine="480" w:firstLineChars="200"/>
        <w:jc w:val="left"/>
        <w:rPr>
          <w:rFonts w:ascii="宋体" w:cs="Times New Roman"/>
          <w:kern w:val="0"/>
          <w:sz w:val="24"/>
          <w:szCs w:val="24"/>
        </w:rPr>
      </w:pPr>
      <w:r>
        <w:rPr>
          <w:rFonts w:hint="eastAsia" w:ascii="宋体" w:hAnsi="宋体" w:cs="宋体"/>
          <w:sz w:val="24"/>
          <w:szCs w:val="24"/>
        </w:rPr>
        <w:t>（一）</w:t>
      </w:r>
      <w:r>
        <w:rPr>
          <w:rFonts w:hint="eastAsia" w:ascii="宋体" w:hAnsi="宋体" w:cs="宋体"/>
          <w:kern w:val="0"/>
          <w:sz w:val="24"/>
          <w:szCs w:val="24"/>
        </w:rPr>
        <w:t>以专人送出；</w:t>
      </w:r>
    </w:p>
    <w:p w14:paraId="4CB35638">
      <w:pPr>
        <w:autoSpaceDE w:val="0"/>
        <w:autoSpaceDN w:val="0"/>
        <w:spacing w:line="360" w:lineRule="auto"/>
        <w:ind w:firstLine="480" w:firstLineChars="200"/>
        <w:jc w:val="left"/>
        <w:rPr>
          <w:rFonts w:ascii="宋体" w:cs="Times New Roman"/>
          <w:kern w:val="0"/>
          <w:sz w:val="24"/>
          <w:szCs w:val="24"/>
        </w:rPr>
      </w:pPr>
      <w:r>
        <w:rPr>
          <w:rFonts w:hint="eastAsia" w:ascii="宋体" w:hAnsi="宋体" w:cs="宋体"/>
          <w:kern w:val="0"/>
          <w:sz w:val="24"/>
          <w:szCs w:val="24"/>
        </w:rPr>
        <w:t>（二）以邮件方式送出；</w:t>
      </w:r>
    </w:p>
    <w:p w14:paraId="35151D18">
      <w:pPr>
        <w:spacing w:line="360" w:lineRule="auto"/>
        <w:ind w:firstLine="480" w:firstLineChars="200"/>
        <w:rPr>
          <w:rFonts w:ascii="宋体" w:cs="Times New Roman"/>
          <w:kern w:val="0"/>
          <w:sz w:val="24"/>
          <w:szCs w:val="24"/>
        </w:rPr>
      </w:pPr>
      <w:r>
        <w:rPr>
          <w:rFonts w:hint="eastAsia" w:ascii="宋体" w:hAnsi="宋体" w:cs="宋体"/>
          <w:kern w:val="0"/>
          <w:sz w:val="24"/>
          <w:szCs w:val="24"/>
        </w:rPr>
        <w:t>（三）</w:t>
      </w:r>
      <w:r>
        <w:rPr>
          <w:rFonts w:hint="eastAsia" w:ascii="宋体" w:hAnsi="宋体" w:cs="宋体"/>
          <w:sz w:val="24"/>
          <w:szCs w:val="24"/>
        </w:rPr>
        <w:t>传真或电子邮件方式；</w:t>
      </w:r>
    </w:p>
    <w:p w14:paraId="7303539E">
      <w:pPr>
        <w:spacing w:line="360" w:lineRule="auto"/>
        <w:ind w:firstLine="480" w:firstLineChars="200"/>
        <w:rPr>
          <w:rFonts w:ascii="宋体" w:cs="宋体"/>
          <w:kern w:val="0"/>
          <w:sz w:val="24"/>
          <w:szCs w:val="24"/>
        </w:rPr>
      </w:pPr>
      <w:r>
        <w:rPr>
          <w:rFonts w:hint="eastAsia" w:ascii="宋体" w:hAnsi="宋体" w:cs="宋体"/>
          <w:kern w:val="0"/>
          <w:sz w:val="24"/>
          <w:szCs w:val="24"/>
        </w:rPr>
        <w:t>（四）本章程规定的其他形式。</w:t>
      </w:r>
    </w:p>
    <w:p w14:paraId="45FDC519">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第一百四十九条  </w:t>
      </w:r>
      <w:r>
        <w:rPr>
          <w:rFonts w:hint="eastAsia" w:ascii="宋体" w:hAnsi="宋体" w:cs="宋体"/>
          <w:sz w:val="24"/>
          <w:szCs w:val="24"/>
        </w:rPr>
        <w:t>公司通知以专人送出的，由被送达人在送达回执上签名（或盖章），被送达人签收日期为送达日期；公司通知以邮件方式送出的，自交付邮局之日起第</w:t>
      </w:r>
      <w:r>
        <w:rPr>
          <w:rFonts w:ascii="宋体" w:hAnsi="宋体" w:cs="宋体"/>
          <w:sz w:val="24"/>
          <w:szCs w:val="24"/>
        </w:rPr>
        <w:t>5</w:t>
      </w:r>
      <w:r>
        <w:rPr>
          <w:rFonts w:hint="eastAsia" w:ascii="宋体" w:hAnsi="宋体" w:cs="宋体"/>
          <w:sz w:val="24"/>
          <w:szCs w:val="24"/>
        </w:rPr>
        <w:t>个工作日为送达日期；公司通知以传真发出的，传真发出日为送达日期，传真送出日期以传真机报告单显示为准；公司通知以电子邮件方式送出的，以公司有效发出电子邮件当日为送达日期。</w:t>
      </w:r>
    </w:p>
    <w:p w14:paraId="02BDAD01">
      <w:pPr>
        <w:spacing w:line="360" w:lineRule="auto"/>
        <w:ind w:firstLine="482" w:firstLineChars="200"/>
        <w:rPr>
          <w:rFonts w:ascii="宋体" w:cs="宋体"/>
          <w:sz w:val="24"/>
          <w:szCs w:val="24"/>
        </w:rPr>
      </w:pPr>
      <w:r>
        <w:rPr>
          <w:rFonts w:hint="eastAsia" w:ascii="宋体" w:hAnsi="宋体" w:cs="宋体"/>
          <w:b/>
          <w:bCs/>
          <w:sz w:val="24"/>
          <w:szCs w:val="24"/>
        </w:rPr>
        <w:t xml:space="preserve">第一百五十条  </w:t>
      </w:r>
      <w:r>
        <w:rPr>
          <w:rFonts w:hint="eastAsia" w:ascii="宋体" w:hAnsi="宋体" w:cs="宋体"/>
          <w:sz w:val="24"/>
          <w:szCs w:val="24"/>
        </w:rPr>
        <w:t>因意外遗漏未向某有权得到通知的人送出会议通知或者该等人没有收到会议通知，会议及会议作出的决议并不因此无效。</w:t>
      </w:r>
    </w:p>
    <w:p w14:paraId="36ACC983">
      <w:pPr>
        <w:pStyle w:val="2"/>
        <w:rPr>
          <w:rFonts w:ascii="宋体" w:hAnsi="宋体" w:cs="宋体"/>
          <w:sz w:val="28"/>
          <w:szCs w:val="28"/>
        </w:rPr>
      </w:pPr>
      <w:bookmarkStart w:id="142" w:name="_Toc425712722"/>
      <w:bookmarkStart w:id="143" w:name="_Toc287717036"/>
      <w:bookmarkStart w:id="144" w:name="_Toc262635816"/>
      <w:bookmarkStart w:id="145" w:name="_Toc137879479"/>
      <w:bookmarkStart w:id="146" w:name="_Toc314734413"/>
      <w:bookmarkStart w:id="147" w:name="_Toc215991610"/>
      <w:r>
        <w:rPr>
          <w:rFonts w:hint="eastAsia" w:ascii="宋体" w:hAnsi="宋体" w:cs="宋体"/>
          <w:sz w:val="28"/>
          <w:szCs w:val="28"/>
        </w:rPr>
        <w:t>第十章   合并、分立、增资、减资、解散和清算</w:t>
      </w:r>
      <w:bookmarkEnd w:id="142"/>
      <w:bookmarkEnd w:id="143"/>
      <w:bookmarkEnd w:id="144"/>
      <w:bookmarkEnd w:id="145"/>
      <w:bookmarkEnd w:id="146"/>
      <w:bookmarkEnd w:id="147"/>
    </w:p>
    <w:p w14:paraId="6B921573">
      <w:pPr>
        <w:pStyle w:val="3"/>
        <w:rPr>
          <w:rFonts w:cs="宋体"/>
        </w:rPr>
      </w:pPr>
      <w:bookmarkStart w:id="148" w:name="_Toc137879480"/>
      <w:bookmarkStart w:id="149" w:name="_Toc215991611"/>
      <w:bookmarkStart w:id="150" w:name="_Toc262635817"/>
      <w:bookmarkStart w:id="151" w:name="_Toc287717037"/>
      <w:bookmarkStart w:id="152" w:name="_Toc425712723"/>
      <w:bookmarkStart w:id="153" w:name="_Toc314734414"/>
      <w:r>
        <w:rPr>
          <w:rFonts w:hint="eastAsia" w:cs="宋体"/>
        </w:rPr>
        <w:t>第一节  合并、分立、增资和减资</w:t>
      </w:r>
      <w:bookmarkEnd w:id="148"/>
      <w:bookmarkEnd w:id="149"/>
      <w:bookmarkEnd w:id="150"/>
      <w:bookmarkEnd w:id="151"/>
      <w:bookmarkEnd w:id="152"/>
      <w:bookmarkEnd w:id="153"/>
    </w:p>
    <w:p w14:paraId="68734905">
      <w:pPr>
        <w:spacing w:line="360" w:lineRule="auto"/>
        <w:ind w:firstLine="482" w:firstLineChars="200"/>
        <w:rPr>
          <w:rFonts w:ascii="宋体" w:cs="Times New Roman"/>
          <w:sz w:val="24"/>
          <w:szCs w:val="24"/>
        </w:rPr>
      </w:pPr>
      <w:r>
        <w:rPr>
          <w:rFonts w:hint="eastAsia" w:ascii="宋体" w:hAnsi="宋体" w:cs="宋体"/>
          <w:b/>
          <w:bCs/>
          <w:sz w:val="24"/>
          <w:szCs w:val="24"/>
        </w:rPr>
        <w:t>第一百五十一条</w:t>
      </w:r>
      <w:r>
        <w:rPr>
          <w:rFonts w:hint="eastAsia" w:ascii="宋体" w:hAnsi="宋体" w:cs="宋体"/>
          <w:sz w:val="24"/>
          <w:szCs w:val="24"/>
        </w:rPr>
        <w:t xml:space="preserve">  公司合并可以采取吸收合并或者新设合并。</w:t>
      </w:r>
    </w:p>
    <w:p w14:paraId="62E50ACD">
      <w:pPr>
        <w:spacing w:line="360" w:lineRule="auto"/>
        <w:ind w:firstLine="480" w:firstLineChars="200"/>
        <w:rPr>
          <w:rFonts w:ascii="宋体" w:cs="Times New Roman"/>
          <w:sz w:val="24"/>
          <w:szCs w:val="24"/>
        </w:rPr>
      </w:pPr>
      <w:r>
        <w:rPr>
          <w:rFonts w:hint="eastAsia" w:ascii="宋体" w:hAnsi="宋体" w:cs="宋体"/>
          <w:sz w:val="24"/>
          <w:szCs w:val="24"/>
        </w:rPr>
        <w:t>一个公司吸收其他公司为吸收合并，被吸收的公司解散。两个以上公司合并设立一个新的公司为新设合并，合并各方解散。</w:t>
      </w:r>
    </w:p>
    <w:p w14:paraId="17A6C79E">
      <w:pPr>
        <w:spacing w:line="360" w:lineRule="auto"/>
        <w:ind w:firstLine="482" w:firstLineChars="200"/>
        <w:rPr>
          <w:rFonts w:ascii="宋体" w:cs="Times New Roman"/>
          <w:sz w:val="24"/>
          <w:szCs w:val="24"/>
        </w:rPr>
      </w:pPr>
      <w:r>
        <w:rPr>
          <w:rFonts w:hint="eastAsia" w:ascii="宋体" w:hAnsi="宋体" w:cs="宋体"/>
          <w:b/>
          <w:bCs/>
          <w:sz w:val="24"/>
          <w:szCs w:val="24"/>
        </w:rPr>
        <w:t>第一百五十二条</w:t>
      </w:r>
      <w:r>
        <w:rPr>
          <w:rFonts w:hint="eastAsia" w:ascii="宋体" w:hAnsi="宋体" w:cs="宋体"/>
          <w:sz w:val="24"/>
          <w:szCs w:val="24"/>
        </w:rPr>
        <w:t xml:space="preserve">  公司合并，应当由合并各方签订合并协议，并编制资产负债表及财产清单。公司应当自作出合并决议之日起</w:t>
      </w:r>
      <w:r>
        <w:rPr>
          <w:rFonts w:ascii="宋体" w:hAnsi="宋体" w:cs="宋体"/>
          <w:sz w:val="24"/>
          <w:szCs w:val="24"/>
        </w:rPr>
        <w:t>10</w:t>
      </w:r>
      <w:r>
        <w:rPr>
          <w:rFonts w:hint="eastAsia" w:ascii="宋体" w:hAnsi="宋体" w:cs="宋体"/>
          <w:sz w:val="24"/>
          <w:szCs w:val="24"/>
        </w:rPr>
        <w:t>日内通知债权人，并于</w:t>
      </w:r>
      <w:r>
        <w:rPr>
          <w:rFonts w:ascii="宋体" w:hAnsi="宋体" w:cs="宋体"/>
          <w:sz w:val="24"/>
          <w:szCs w:val="24"/>
        </w:rPr>
        <w:t>30</w:t>
      </w:r>
      <w:r>
        <w:rPr>
          <w:rFonts w:hint="eastAsia" w:ascii="宋体" w:hAnsi="宋体" w:cs="宋体"/>
          <w:sz w:val="24"/>
          <w:szCs w:val="24"/>
        </w:rPr>
        <w:t>日内在报纸上公告。债权人自接到通知书之日起</w:t>
      </w:r>
      <w:r>
        <w:rPr>
          <w:rFonts w:ascii="宋体" w:hAnsi="宋体" w:cs="宋体"/>
          <w:sz w:val="24"/>
          <w:szCs w:val="24"/>
        </w:rPr>
        <w:t>30</w:t>
      </w:r>
      <w:r>
        <w:rPr>
          <w:rFonts w:hint="eastAsia" w:ascii="宋体" w:hAnsi="宋体" w:cs="宋体"/>
          <w:sz w:val="24"/>
          <w:szCs w:val="24"/>
        </w:rPr>
        <w:t>日内，未接到通知书的自公告之日起</w:t>
      </w:r>
      <w:r>
        <w:rPr>
          <w:rFonts w:ascii="宋体" w:hAnsi="宋体" w:cs="宋体"/>
          <w:sz w:val="24"/>
          <w:szCs w:val="24"/>
        </w:rPr>
        <w:t>45</w:t>
      </w:r>
      <w:r>
        <w:rPr>
          <w:rFonts w:hint="eastAsia" w:ascii="宋体" w:hAnsi="宋体" w:cs="宋体"/>
          <w:sz w:val="24"/>
          <w:szCs w:val="24"/>
        </w:rPr>
        <w:t>日内，可以要求公司清偿债务或者提供相应的担保。</w:t>
      </w:r>
    </w:p>
    <w:p w14:paraId="32556FFB">
      <w:pPr>
        <w:spacing w:line="360" w:lineRule="auto"/>
        <w:ind w:firstLine="482" w:firstLineChars="200"/>
        <w:rPr>
          <w:rFonts w:ascii="宋体" w:cs="Times New Roman"/>
          <w:sz w:val="24"/>
          <w:szCs w:val="24"/>
        </w:rPr>
      </w:pPr>
      <w:r>
        <w:rPr>
          <w:rFonts w:hint="eastAsia" w:ascii="宋体" w:hAnsi="宋体" w:cs="宋体"/>
          <w:b/>
          <w:bCs/>
          <w:sz w:val="24"/>
          <w:szCs w:val="24"/>
        </w:rPr>
        <w:t>第一百五十三条</w:t>
      </w:r>
      <w:r>
        <w:rPr>
          <w:rFonts w:hint="eastAsia" w:ascii="宋体" w:hAnsi="宋体" w:cs="宋体"/>
          <w:sz w:val="24"/>
          <w:szCs w:val="24"/>
        </w:rPr>
        <w:t xml:space="preserve">  公司合并时，合并各方的债权、债务，由合并后存续的公司或者新设的公司承继。</w:t>
      </w:r>
    </w:p>
    <w:p w14:paraId="5C291BA5">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第一百五十四条  </w:t>
      </w:r>
      <w:r>
        <w:rPr>
          <w:rFonts w:hint="eastAsia" w:ascii="宋体" w:hAnsi="宋体" w:cs="宋体"/>
          <w:sz w:val="24"/>
          <w:szCs w:val="24"/>
        </w:rPr>
        <w:t>公司分立，其财产作相应的分割。</w:t>
      </w:r>
    </w:p>
    <w:p w14:paraId="4E82F7CE">
      <w:pPr>
        <w:spacing w:line="360" w:lineRule="auto"/>
        <w:ind w:firstLine="480" w:firstLineChars="200"/>
        <w:rPr>
          <w:rFonts w:ascii="宋体" w:cs="Times New Roman"/>
          <w:sz w:val="24"/>
          <w:szCs w:val="24"/>
        </w:rPr>
      </w:pPr>
      <w:r>
        <w:rPr>
          <w:rFonts w:hint="eastAsia" w:ascii="宋体" w:hAnsi="宋体" w:cs="宋体"/>
          <w:sz w:val="24"/>
          <w:szCs w:val="24"/>
        </w:rPr>
        <w:t>公司分立，应当编制资产负债表及财产清单。公司应当自作出分立决议之日起</w:t>
      </w:r>
      <w:r>
        <w:rPr>
          <w:rFonts w:ascii="宋体" w:hAnsi="宋体" w:cs="宋体"/>
          <w:sz w:val="24"/>
          <w:szCs w:val="24"/>
        </w:rPr>
        <w:t>10</w:t>
      </w:r>
      <w:r>
        <w:rPr>
          <w:rFonts w:hint="eastAsia" w:ascii="宋体" w:hAnsi="宋体" w:cs="宋体"/>
          <w:sz w:val="24"/>
          <w:szCs w:val="24"/>
        </w:rPr>
        <w:t>日内通知债权人，并于</w:t>
      </w:r>
      <w:r>
        <w:rPr>
          <w:rFonts w:ascii="宋体" w:hAnsi="宋体" w:cs="宋体"/>
          <w:sz w:val="24"/>
          <w:szCs w:val="24"/>
        </w:rPr>
        <w:t>30</w:t>
      </w:r>
      <w:r>
        <w:rPr>
          <w:rFonts w:hint="eastAsia" w:ascii="宋体" w:hAnsi="宋体" w:cs="宋体"/>
          <w:sz w:val="24"/>
          <w:szCs w:val="24"/>
        </w:rPr>
        <w:t>日内公告。</w:t>
      </w:r>
    </w:p>
    <w:p w14:paraId="6B9BECE8">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第一百五十五条  </w:t>
      </w:r>
      <w:r>
        <w:rPr>
          <w:rFonts w:hint="eastAsia" w:ascii="宋体" w:hAnsi="宋体" w:cs="宋体"/>
          <w:sz w:val="24"/>
          <w:szCs w:val="24"/>
        </w:rPr>
        <w:t>公司分立前的债务由分立后的公司承担连带责任。但是，公司在分立前与债权人就债务清偿达成的书面协议另有约定的除外。</w:t>
      </w:r>
    </w:p>
    <w:p w14:paraId="558B7BE9">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第一百五十六条  </w:t>
      </w:r>
      <w:r>
        <w:rPr>
          <w:rFonts w:hint="eastAsia" w:ascii="宋体" w:hAnsi="宋体" w:cs="宋体"/>
          <w:sz w:val="24"/>
          <w:szCs w:val="24"/>
        </w:rPr>
        <w:t>公司需要减少注册资本时，必须编制资产负债表及财产清单。</w:t>
      </w:r>
    </w:p>
    <w:p w14:paraId="7FA2C923">
      <w:pPr>
        <w:spacing w:line="360" w:lineRule="auto"/>
        <w:ind w:firstLine="480" w:firstLineChars="200"/>
        <w:rPr>
          <w:rFonts w:ascii="宋体" w:cs="Times New Roman"/>
          <w:sz w:val="24"/>
          <w:szCs w:val="24"/>
        </w:rPr>
      </w:pPr>
      <w:r>
        <w:rPr>
          <w:rFonts w:hint="eastAsia" w:ascii="宋体" w:hAnsi="宋体" w:cs="宋体"/>
          <w:sz w:val="24"/>
          <w:szCs w:val="24"/>
        </w:rPr>
        <w:t>公司应当自作出减少注册资本决议之日起</w:t>
      </w:r>
      <w:r>
        <w:rPr>
          <w:rFonts w:ascii="宋体" w:hAnsi="宋体" w:cs="宋体"/>
          <w:sz w:val="24"/>
          <w:szCs w:val="24"/>
        </w:rPr>
        <w:t>10</w:t>
      </w:r>
      <w:r>
        <w:rPr>
          <w:rFonts w:hint="eastAsia" w:ascii="宋体" w:hAnsi="宋体" w:cs="宋体"/>
          <w:sz w:val="24"/>
          <w:szCs w:val="24"/>
        </w:rPr>
        <w:t>日内通知债权人，并于</w:t>
      </w:r>
      <w:r>
        <w:rPr>
          <w:rFonts w:ascii="宋体" w:hAnsi="宋体" w:cs="宋体"/>
          <w:sz w:val="24"/>
          <w:szCs w:val="24"/>
        </w:rPr>
        <w:t>30</w:t>
      </w:r>
      <w:r>
        <w:rPr>
          <w:rFonts w:hint="eastAsia" w:ascii="宋体" w:hAnsi="宋体" w:cs="宋体"/>
          <w:sz w:val="24"/>
          <w:szCs w:val="24"/>
        </w:rPr>
        <w:t>日内在在报纸上上公告。债权人自接到通知书之日起</w:t>
      </w:r>
      <w:r>
        <w:rPr>
          <w:rFonts w:ascii="宋体" w:hAnsi="宋体" w:cs="宋体"/>
          <w:sz w:val="24"/>
          <w:szCs w:val="24"/>
        </w:rPr>
        <w:t>30</w:t>
      </w:r>
      <w:r>
        <w:rPr>
          <w:rFonts w:hint="eastAsia" w:ascii="宋体" w:hAnsi="宋体" w:cs="宋体"/>
          <w:sz w:val="24"/>
          <w:szCs w:val="24"/>
        </w:rPr>
        <w:t>日内，未接到通知书的自公告之日起</w:t>
      </w:r>
      <w:r>
        <w:rPr>
          <w:rFonts w:ascii="宋体" w:hAnsi="宋体" w:cs="宋体"/>
          <w:sz w:val="24"/>
          <w:szCs w:val="24"/>
        </w:rPr>
        <w:t>45</w:t>
      </w:r>
      <w:r>
        <w:rPr>
          <w:rFonts w:hint="eastAsia" w:ascii="宋体" w:hAnsi="宋体" w:cs="宋体"/>
          <w:sz w:val="24"/>
          <w:szCs w:val="24"/>
        </w:rPr>
        <w:t>日内，有权要求公司清偿债务或者提供相应的担保。</w:t>
      </w:r>
    </w:p>
    <w:p w14:paraId="447DB41F">
      <w:pPr>
        <w:spacing w:line="360" w:lineRule="auto"/>
        <w:ind w:firstLine="480" w:firstLineChars="200"/>
        <w:rPr>
          <w:rFonts w:ascii="宋体" w:cs="Times New Roman"/>
          <w:sz w:val="24"/>
          <w:szCs w:val="24"/>
        </w:rPr>
      </w:pPr>
      <w:r>
        <w:rPr>
          <w:rFonts w:hint="eastAsia" w:ascii="宋体" w:hAnsi="宋体" w:cs="宋体"/>
          <w:sz w:val="24"/>
          <w:szCs w:val="24"/>
        </w:rPr>
        <w:t>公司减资后的注册资本将不低于法定的最低限额。</w:t>
      </w:r>
    </w:p>
    <w:p w14:paraId="445FDB4D">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第一百五十七条  </w:t>
      </w:r>
      <w:r>
        <w:rPr>
          <w:rFonts w:hint="eastAsia" w:ascii="宋体" w:hAnsi="宋体" w:cs="宋体"/>
          <w:sz w:val="24"/>
          <w:szCs w:val="24"/>
        </w:rPr>
        <w:t>公司合并或者分立，登记事项发生变更的，应当依法向公司登记机关办理变更登记；公司解散的，应当依法办理公司注销登记；设立新公司的，应当依法办理公司设立登记。</w:t>
      </w:r>
    </w:p>
    <w:p w14:paraId="2DE70B48">
      <w:pPr>
        <w:spacing w:line="360" w:lineRule="auto"/>
        <w:ind w:firstLine="480" w:firstLineChars="200"/>
        <w:rPr>
          <w:rFonts w:ascii="宋体" w:cs="Times New Roman"/>
          <w:sz w:val="24"/>
          <w:szCs w:val="24"/>
        </w:rPr>
      </w:pPr>
      <w:r>
        <w:rPr>
          <w:rFonts w:hint="eastAsia" w:ascii="宋体" w:hAnsi="宋体" w:cs="宋体"/>
          <w:sz w:val="24"/>
          <w:szCs w:val="24"/>
        </w:rPr>
        <w:t>公司增加或者减少注册资本，应当依法向公司登记机关办理变更登记。</w:t>
      </w:r>
    </w:p>
    <w:p w14:paraId="08D12D56">
      <w:pPr>
        <w:pStyle w:val="3"/>
        <w:rPr>
          <w:rFonts w:cs="宋体"/>
        </w:rPr>
      </w:pPr>
      <w:bookmarkStart w:id="154" w:name="_Toc137879481"/>
      <w:bookmarkStart w:id="155" w:name="_Toc215991612"/>
      <w:bookmarkStart w:id="156" w:name="_Toc262635818"/>
      <w:bookmarkStart w:id="157" w:name="_Toc287717038"/>
      <w:bookmarkStart w:id="158" w:name="_Toc314734415"/>
      <w:bookmarkStart w:id="159" w:name="_Toc425712724"/>
      <w:r>
        <w:rPr>
          <w:rFonts w:hint="eastAsia" w:cs="宋体"/>
        </w:rPr>
        <w:t>第二节  解散和清算</w:t>
      </w:r>
      <w:bookmarkEnd w:id="154"/>
      <w:bookmarkEnd w:id="155"/>
      <w:bookmarkEnd w:id="156"/>
      <w:bookmarkEnd w:id="157"/>
      <w:bookmarkEnd w:id="158"/>
      <w:bookmarkEnd w:id="159"/>
    </w:p>
    <w:p w14:paraId="49F78DC9">
      <w:pPr>
        <w:spacing w:line="360" w:lineRule="auto"/>
        <w:ind w:firstLine="482" w:firstLineChars="200"/>
        <w:rPr>
          <w:rFonts w:ascii="宋体" w:cs="Times New Roman"/>
          <w:sz w:val="24"/>
          <w:szCs w:val="24"/>
        </w:rPr>
      </w:pPr>
      <w:r>
        <w:rPr>
          <w:rFonts w:hint="eastAsia" w:ascii="宋体" w:hAnsi="宋体" w:cs="宋体"/>
          <w:b/>
          <w:bCs/>
          <w:sz w:val="24"/>
          <w:szCs w:val="24"/>
        </w:rPr>
        <w:t>第一百五十八条</w:t>
      </w:r>
      <w:r>
        <w:rPr>
          <w:rFonts w:hint="eastAsia" w:ascii="宋体" w:hAnsi="宋体" w:cs="宋体"/>
          <w:sz w:val="24"/>
          <w:szCs w:val="24"/>
        </w:rPr>
        <w:t xml:space="preserve">  公司因下列原因解散：</w:t>
      </w:r>
    </w:p>
    <w:p w14:paraId="49FBF59A">
      <w:pPr>
        <w:spacing w:line="360" w:lineRule="auto"/>
        <w:ind w:firstLine="480" w:firstLineChars="200"/>
        <w:rPr>
          <w:rFonts w:ascii="宋体" w:cs="Times New Roman"/>
          <w:sz w:val="24"/>
          <w:szCs w:val="24"/>
        </w:rPr>
      </w:pPr>
      <w:r>
        <w:rPr>
          <w:rFonts w:hint="eastAsia" w:ascii="宋体" w:hAnsi="宋体" w:cs="宋体"/>
          <w:sz w:val="24"/>
          <w:szCs w:val="24"/>
        </w:rPr>
        <w:t>（一）本章程规定的营业期限届满或本章程规定的其他解散事由出现；</w:t>
      </w:r>
    </w:p>
    <w:p w14:paraId="75FAFEA1">
      <w:pPr>
        <w:spacing w:line="360" w:lineRule="auto"/>
        <w:ind w:firstLine="480" w:firstLineChars="200"/>
        <w:rPr>
          <w:rFonts w:ascii="宋体" w:cs="Times New Roman"/>
          <w:sz w:val="24"/>
          <w:szCs w:val="24"/>
        </w:rPr>
      </w:pPr>
      <w:r>
        <w:rPr>
          <w:rFonts w:hint="eastAsia" w:ascii="宋体" w:hAnsi="宋体" w:cs="宋体"/>
          <w:sz w:val="24"/>
          <w:szCs w:val="24"/>
        </w:rPr>
        <w:t>（二）股东大会决议解散；</w:t>
      </w:r>
    </w:p>
    <w:p w14:paraId="0088F5F5">
      <w:pPr>
        <w:spacing w:line="360" w:lineRule="auto"/>
        <w:ind w:firstLine="480" w:firstLineChars="200"/>
        <w:rPr>
          <w:rFonts w:ascii="宋体" w:cs="Times New Roman"/>
          <w:sz w:val="24"/>
          <w:szCs w:val="24"/>
        </w:rPr>
      </w:pPr>
      <w:r>
        <w:rPr>
          <w:rFonts w:hint="eastAsia" w:ascii="宋体" w:hAnsi="宋体" w:cs="宋体"/>
          <w:sz w:val="24"/>
          <w:szCs w:val="24"/>
        </w:rPr>
        <w:t>（三）因公司合并或者分立需要解散；</w:t>
      </w:r>
    </w:p>
    <w:p w14:paraId="539F87E9">
      <w:pPr>
        <w:spacing w:line="360" w:lineRule="auto"/>
        <w:ind w:firstLine="480" w:firstLineChars="200"/>
        <w:rPr>
          <w:rFonts w:ascii="宋体" w:cs="Times New Roman"/>
          <w:sz w:val="24"/>
          <w:szCs w:val="24"/>
        </w:rPr>
      </w:pPr>
      <w:r>
        <w:rPr>
          <w:rFonts w:hint="eastAsia" w:ascii="宋体" w:hAnsi="宋体" w:cs="宋体"/>
          <w:sz w:val="24"/>
          <w:szCs w:val="24"/>
        </w:rPr>
        <w:t>（四）依法被吊销营业执照、责令关闭或者被撤销；</w:t>
      </w:r>
    </w:p>
    <w:p w14:paraId="6B1727F6">
      <w:pPr>
        <w:spacing w:line="360" w:lineRule="auto"/>
        <w:ind w:firstLine="480" w:firstLineChars="200"/>
        <w:rPr>
          <w:rFonts w:ascii="宋体" w:cs="Times New Roman"/>
          <w:sz w:val="24"/>
          <w:szCs w:val="24"/>
        </w:rPr>
      </w:pPr>
      <w:r>
        <w:rPr>
          <w:rFonts w:hint="eastAsia" w:ascii="宋体" w:hAnsi="宋体" w:cs="宋体"/>
          <w:sz w:val="24"/>
          <w:szCs w:val="24"/>
        </w:rPr>
        <w:t>（五）公司经营管理发生严重困难，继续存续会使股东利益受到重大损失，通过其他途径不能解决的，持有公司全部股东表决权</w:t>
      </w:r>
      <w:r>
        <w:rPr>
          <w:rFonts w:ascii="宋体" w:hAnsi="宋体" w:cs="宋体"/>
          <w:sz w:val="24"/>
          <w:szCs w:val="24"/>
        </w:rPr>
        <w:t>10%</w:t>
      </w:r>
      <w:r>
        <w:rPr>
          <w:rFonts w:hint="eastAsia" w:ascii="宋体" w:hAnsi="宋体" w:cs="宋体"/>
          <w:sz w:val="24"/>
          <w:szCs w:val="24"/>
        </w:rPr>
        <w:t>以上的股东，可以请求人民法院解散公司。</w:t>
      </w:r>
    </w:p>
    <w:p w14:paraId="794E124B">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第一百五十九条  </w:t>
      </w:r>
      <w:r>
        <w:rPr>
          <w:rFonts w:hint="eastAsia" w:ascii="宋体" w:hAnsi="宋体" w:cs="宋体"/>
          <w:sz w:val="24"/>
          <w:szCs w:val="24"/>
        </w:rPr>
        <w:t>公司有本章程第一百五十八条第（一）项情形的，可以通过修改本章程而存续。</w:t>
      </w:r>
    </w:p>
    <w:p w14:paraId="3C0F0329">
      <w:pPr>
        <w:spacing w:line="360" w:lineRule="auto"/>
        <w:ind w:firstLine="480" w:firstLineChars="200"/>
        <w:rPr>
          <w:rFonts w:ascii="宋体" w:cs="Times New Roman"/>
          <w:sz w:val="24"/>
          <w:szCs w:val="24"/>
        </w:rPr>
      </w:pPr>
      <w:r>
        <w:rPr>
          <w:rFonts w:hint="eastAsia" w:ascii="宋体" w:hAnsi="宋体" w:cs="宋体"/>
          <w:sz w:val="24"/>
          <w:szCs w:val="24"/>
        </w:rPr>
        <w:t>依照前款规定修改本章程，须经出席股东大会会议的股东所持表决权的三分之二以上通过。</w:t>
      </w:r>
    </w:p>
    <w:p w14:paraId="5E05D6F8">
      <w:pPr>
        <w:spacing w:line="360" w:lineRule="auto"/>
        <w:ind w:firstLine="482" w:firstLineChars="200"/>
        <w:rPr>
          <w:rFonts w:ascii="宋体" w:cs="Times New Roman"/>
          <w:sz w:val="24"/>
          <w:szCs w:val="24"/>
        </w:rPr>
      </w:pPr>
      <w:r>
        <w:rPr>
          <w:rFonts w:hint="eastAsia" w:ascii="宋体" w:hAnsi="宋体" w:cs="宋体"/>
          <w:b/>
          <w:bCs/>
          <w:sz w:val="24"/>
          <w:szCs w:val="24"/>
        </w:rPr>
        <w:t>第一百六十条</w:t>
      </w:r>
      <w:r>
        <w:rPr>
          <w:rFonts w:hint="eastAsia" w:ascii="宋体" w:hAnsi="宋体" w:cs="宋体"/>
          <w:sz w:val="24"/>
          <w:szCs w:val="24"/>
        </w:rPr>
        <w:t xml:space="preserve">  公司因本章程第一百五十八条第（一）、（二）、（四）、（五）项规定而解散的，应当在解散事由出现之日起</w:t>
      </w:r>
      <w:r>
        <w:rPr>
          <w:rFonts w:ascii="宋体" w:hAnsi="宋体" w:cs="宋体"/>
          <w:sz w:val="24"/>
          <w:szCs w:val="24"/>
        </w:rPr>
        <w:t>15</w:t>
      </w:r>
      <w:r>
        <w:rPr>
          <w:rFonts w:hint="eastAsia" w:ascii="宋体" w:hAnsi="宋体" w:cs="宋体"/>
          <w:sz w:val="24"/>
          <w:szCs w:val="24"/>
        </w:rPr>
        <w:t>日内成立清算组，开始清算。清算组由董事或者股东大会确定的人员组成。逾期不成立清算组进行清算的，债权人可以申请人民法院指定有关人员组成清算组进行清算。</w:t>
      </w:r>
    </w:p>
    <w:p w14:paraId="12095336">
      <w:pPr>
        <w:spacing w:line="360" w:lineRule="auto"/>
        <w:ind w:firstLine="482" w:firstLineChars="200"/>
        <w:rPr>
          <w:rFonts w:ascii="宋体" w:cs="Times New Roman"/>
          <w:sz w:val="24"/>
          <w:szCs w:val="24"/>
        </w:rPr>
      </w:pPr>
      <w:r>
        <w:rPr>
          <w:rFonts w:hint="eastAsia" w:ascii="宋体" w:hAnsi="宋体" w:cs="宋体"/>
          <w:b/>
          <w:bCs/>
          <w:sz w:val="24"/>
          <w:szCs w:val="24"/>
        </w:rPr>
        <w:t>第一百六十一条</w:t>
      </w:r>
      <w:r>
        <w:rPr>
          <w:rFonts w:hint="eastAsia" w:ascii="宋体" w:hAnsi="宋体" w:cs="宋体"/>
          <w:sz w:val="24"/>
          <w:szCs w:val="24"/>
        </w:rPr>
        <w:t xml:space="preserve">  清算组在清算期间行使下列职权：</w:t>
      </w:r>
    </w:p>
    <w:p w14:paraId="20453E7B">
      <w:pPr>
        <w:pStyle w:val="9"/>
        <w:spacing w:line="360" w:lineRule="auto"/>
        <w:ind w:firstLine="480" w:firstLineChars="200"/>
        <w:rPr>
          <w:rFonts w:hAnsi="宋体" w:eastAsia="宋体"/>
          <w:sz w:val="24"/>
          <w:szCs w:val="24"/>
          <w:lang w:eastAsia="zh-CN"/>
        </w:rPr>
      </w:pPr>
      <w:r>
        <w:rPr>
          <w:rFonts w:hint="eastAsia" w:hAnsi="宋体" w:eastAsia="宋体"/>
          <w:sz w:val="24"/>
          <w:szCs w:val="24"/>
        </w:rPr>
        <w:t>（一）清理公司财产、</w:t>
      </w:r>
      <w:r>
        <w:rPr>
          <w:rFonts w:hint="eastAsia" w:hAnsi="宋体" w:eastAsia="宋体"/>
          <w:sz w:val="24"/>
          <w:szCs w:val="24"/>
          <w:lang w:eastAsia="zh-CN"/>
        </w:rPr>
        <w:t>分别</w:t>
      </w:r>
      <w:r>
        <w:rPr>
          <w:rFonts w:hint="eastAsia" w:hAnsi="宋体" w:eastAsia="宋体"/>
          <w:sz w:val="24"/>
          <w:szCs w:val="24"/>
        </w:rPr>
        <w:t>编制资产负债表和财产清单；</w:t>
      </w:r>
    </w:p>
    <w:p w14:paraId="0AB4D901">
      <w:pPr>
        <w:pStyle w:val="9"/>
        <w:spacing w:line="360" w:lineRule="auto"/>
        <w:ind w:firstLine="480" w:firstLineChars="200"/>
        <w:rPr>
          <w:rFonts w:hAnsi="宋体" w:eastAsia="宋体"/>
          <w:sz w:val="24"/>
          <w:szCs w:val="24"/>
          <w:lang w:eastAsia="zh-CN"/>
        </w:rPr>
      </w:pPr>
      <w:r>
        <w:rPr>
          <w:rFonts w:hint="eastAsia" w:hAnsi="宋体" w:eastAsia="宋体"/>
          <w:sz w:val="24"/>
          <w:szCs w:val="24"/>
        </w:rPr>
        <w:t>（二）通知</w:t>
      </w:r>
      <w:r>
        <w:rPr>
          <w:rFonts w:hint="eastAsia" w:hAnsi="宋体" w:eastAsia="宋体"/>
          <w:sz w:val="24"/>
          <w:szCs w:val="24"/>
          <w:lang w:eastAsia="zh-CN"/>
        </w:rPr>
        <w:t>、</w:t>
      </w:r>
      <w:r>
        <w:rPr>
          <w:rFonts w:hint="eastAsia" w:hAnsi="宋体" w:eastAsia="宋体"/>
          <w:sz w:val="24"/>
          <w:szCs w:val="24"/>
        </w:rPr>
        <w:t>公告债权人；</w:t>
      </w:r>
    </w:p>
    <w:p w14:paraId="17A2554B">
      <w:pPr>
        <w:pStyle w:val="9"/>
        <w:spacing w:line="360" w:lineRule="auto"/>
        <w:ind w:firstLine="480" w:firstLineChars="200"/>
        <w:rPr>
          <w:rFonts w:hAnsi="宋体" w:eastAsia="宋体"/>
          <w:sz w:val="24"/>
          <w:szCs w:val="24"/>
          <w:lang w:eastAsia="zh-CN"/>
        </w:rPr>
      </w:pPr>
      <w:r>
        <w:rPr>
          <w:rFonts w:hint="eastAsia" w:hAnsi="宋体" w:eastAsia="宋体"/>
          <w:sz w:val="24"/>
          <w:szCs w:val="24"/>
        </w:rPr>
        <w:t>（三）处理</w:t>
      </w:r>
      <w:r>
        <w:rPr>
          <w:rFonts w:hint="eastAsia" w:hAnsi="宋体" w:eastAsia="宋体"/>
          <w:sz w:val="24"/>
          <w:szCs w:val="24"/>
          <w:lang w:eastAsia="zh-CN"/>
        </w:rPr>
        <w:t>与清算有关的</w:t>
      </w:r>
      <w:r>
        <w:rPr>
          <w:rFonts w:hint="eastAsia" w:hAnsi="宋体" w:eastAsia="宋体"/>
          <w:sz w:val="24"/>
          <w:szCs w:val="24"/>
        </w:rPr>
        <w:t>公司未了结的业务；</w:t>
      </w:r>
    </w:p>
    <w:p w14:paraId="1A89037A">
      <w:pPr>
        <w:pStyle w:val="9"/>
        <w:spacing w:line="360" w:lineRule="auto"/>
        <w:ind w:firstLine="480" w:firstLineChars="200"/>
        <w:rPr>
          <w:rFonts w:hAnsi="宋体" w:eastAsia="宋体"/>
          <w:sz w:val="24"/>
          <w:szCs w:val="24"/>
          <w:lang w:eastAsia="zh-CN"/>
        </w:rPr>
      </w:pPr>
      <w:r>
        <w:rPr>
          <w:rFonts w:hint="eastAsia" w:hAnsi="宋体" w:eastAsia="宋体"/>
          <w:sz w:val="24"/>
          <w:szCs w:val="24"/>
        </w:rPr>
        <w:t>（四）清缴所欠税款</w:t>
      </w:r>
      <w:r>
        <w:rPr>
          <w:rFonts w:hint="eastAsia" w:hAnsi="宋体" w:eastAsia="宋体"/>
          <w:sz w:val="24"/>
          <w:szCs w:val="24"/>
          <w:lang w:eastAsia="zh-CN"/>
        </w:rPr>
        <w:t>以及清算过程中产生的税款</w:t>
      </w:r>
      <w:r>
        <w:rPr>
          <w:rFonts w:hint="eastAsia" w:hAnsi="宋体" w:eastAsia="宋体"/>
          <w:sz w:val="24"/>
          <w:szCs w:val="24"/>
        </w:rPr>
        <w:t>；</w:t>
      </w:r>
    </w:p>
    <w:p w14:paraId="270EFA78">
      <w:pPr>
        <w:pStyle w:val="9"/>
        <w:spacing w:line="360" w:lineRule="auto"/>
        <w:ind w:firstLine="480" w:firstLineChars="200"/>
        <w:rPr>
          <w:rFonts w:hAnsi="宋体" w:eastAsia="宋体"/>
          <w:sz w:val="24"/>
          <w:szCs w:val="24"/>
          <w:lang w:eastAsia="zh-CN"/>
        </w:rPr>
      </w:pPr>
      <w:r>
        <w:rPr>
          <w:rFonts w:hint="eastAsia" w:hAnsi="宋体" w:eastAsia="宋体"/>
          <w:sz w:val="24"/>
          <w:szCs w:val="24"/>
        </w:rPr>
        <w:t>（五）清理债权、债务；</w:t>
      </w:r>
    </w:p>
    <w:p w14:paraId="3F7A546E">
      <w:pPr>
        <w:pStyle w:val="9"/>
        <w:spacing w:line="360" w:lineRule="auto"/>
        <w:ind w:firstLine="480" w:firstLineChars="200"/>
        <w:rPr>
          <w:rFonts w:hAnsi="宋体" w:eastAsia="宋体"/>
          <w:sz w:val="24"/>
          <w:szCs w:val="24"/>
          <w:lang w:eastAsia="zh-CN"/>
        </w:rPr>
      </w:pPr>
      <w:r>
        <w:rPr>
          <w:rFonts w:hint="eastAsia" w:hAnsi="宋体" w:eastAsia="宋体"/>
          <w:sz w:val="24"/>
          <w:szCs w:val="24"/>
        </w:rPr>
        <w:t>（六）处理公司清偿债务后的剩余财产；</w:t>
      </w:r>
    </w:p>
    <w:p w14:paraId="74B64FA2">
      <w:pPr>
        <w:spacing w:line="360" w:lineRule="auto"/>
        <w:ind w:firstLine="480" w:firstLineChars="200"/>
        <w:rPr>
          <w:rFonts w:ascii="宋体" w:cs="Times New Roman"/>
          <w:sz w:val="24"/>
          <w:szCs w:val="24"/>
        </w:rPr>
      </w:pPr>
      <w:r>
        <w:rPr>
          <w:rFonts w:hint="eastAsia" w:ascii="宋体" w:hAnsi="宋体" w:cs="宋体"/>
          <w:sz w:val="24"/>
          <w:szCs w:val="24"/>
        </w:rPr>
        <w:t>（七）代表公司参与民事诉讼活动。</w:t>
      </w:r>
    </w:p>
    <w:p w14:paraId="01B5CCB7">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第一百六十二条  </w:t>
      </w:r>
      <w:r>
        <w:rPr>
          <w:rFonts w:hint="eastAsia" w:ascii="宋体" w:hAnsi="宋体" w:cs="宋体"/>
          <w:sz w:val="24"/>
          <w:szCs w:val="24"/>
        </w:rPr>
        <w:t>清算组应当自成立之日起</w:t>
      </w:r>
      <w:r>
        <w:rPr>
          <w:rFonts w:ascii="宋体" w:hAnsi="宋体" w:cs="宋体"/>
          <w:sz w:val="24"/>
          <w:szCs w:val="24"/>
        </w:rPr>
        <w:t>10</w:t>
      </w:r>
      <w:r>
        <w:rPr>
          <w:rFonts w:hint="eastAsia" w:ascii="宋体" w:hAnsi="宋体" w:cs="宋体"/>
          <w:sz w:val="24"/>
          <w:szCs w:val="24"/>
        </w:rPr>
        <w:t>日内通知债权人，并于</w:t>
      </w:r>
      <w:r>
        <w:rPr>
          <w:rFonts w:ascii="宋体" w:hAnsi="宋体" w:cs="宋体"/>
          <w:sz w:val="24"/>
          <w:szCs w:val="24"/>
        </w:rPr>
        <w:t>60</w:t>
      </w:r>
      <w:r>
        <w:rPr>
          <w:rFonts w:hint="eastAsia" w:ascii="宋体" w:hAnsi="宋体" w:cs="宋体"/>
          <w:sz w:val="24"/>
          <w:szCs w:val="24"/>
        </w:rPr>
        <w:t>日内在报纸上公告。债权人应当自接到通知书之日起</w:t>
      </w:r>
      <w:r>
        <w:rPr>
          <w:rFonts w:ascii="宋体" w:hAnsi="宋体" w:cs="宋体"/>
          <w:sz w:val="24"/>
          <w:szCs w:val="24"/>
        </w:rPr>
        <w:t>30</w:t>
      </w:r>
      <w:r>
        <w:rPr>
          <w:rFonts w:hint="eastAsia" w:ascii="宋体" w:hAnsi="宋体" w:cs="宋体"/>
          <w:sz w:val="24"/>
          <w:szCs w:val="24"/>
        </w:rPr>
        <w:t>日内，未接到通知书的自公告之日起</w:t>
      </w:r>
      <w:r>
        <w:rPr>
          <w:rFonts w:ascii="宋体" w:hAnsi="宋体" w:cs="宋体"/>
          <w:sz w:val="24"/>
          <w:szCs w:val="24"/>
        </w:rPr>
        <w:t>45</w:t>
      </w:r>
      <w:r>
        <w:rPr>
          <w:rFonts w:hint="eastAsia" w:ascii="宋体" w:hAnsi="宋体" w:cs="宋体"/>
          <w:sz w:val="24"/>
          <w:szCs w:val="24"/>
        </w:rPr>
        <w:t>日内，向清算组申报其债权。</w:t>
      </w:r>
    </w:p>
    <w:p w14:paraId="23EF3C3E">
      <w:pPr>
        <w:spacing w:line="360" w:lineRule="auto"/>
        <w:ind w:firstLine="480" w:firstLineChars="200"/>
        <w:rPr>
          <w:rFonts w:ascii="宋体" w:cs="Times New Roman"/>
          <w:sz w:val="24"/>
          <w:szCs w:val="24"/>
        </w:rPr>
      </w:pPr>
      <w:r>
        <w:rPr>
          <w:rFonts w:hint="eastAsia" w:ascii="宋体" w:hAnsi="宋体" w:cs="宋体"/>
          <w:sz w:val="24"/>
          <w:szCs w:val="24"/>
        </w:rPr>
        <w:t>债权人申报债权，应当说明债权的有关事项，并提供证明材料。清算组应当对债权进行登记。</w:t>
      </w:r>
    </w:p>
    <w:p w14:paraId="39DB398F">
      <w:pPr>
        <w:spacing w:line="360" w:lineRule="auto"/>
        <w:ind w:firstLine="480" w:firstLineChars="200"/>
        <w:rPr>
          <w:rFonts w:ascii="宋体" w:cs="Times New Roman"/>
          <w:sz w:val="24"/>
          <w:szCs w:val="24"/>
        </w:rPr>
      </w:pPr>
      <w:r>
        <w:rPr>
          <w:rFonts w:hint="eastAsia" w:ascii="宋体" w:hAnsi="宋体" w:cs="宋体"/>
          <w:sz w:val="24"/>
          <w:szCs w:val="24"/>
        </w:rPr>
        <w:t>在申报债权期间，清算组不得对债权人进行清偿。</w:t>
      </w:r>
    </w:p>
    <w:p w14:paraId="24E12040">
      <w:pPr>
        <w:spacing w:line="360" w:lineRule="auto"/>
        <w:ind w:firstLine="482" w:firstLineChars="200"/>
        <w:rPr>
          <w:rFonts w:ascii="宋体" w:cs="Times New Roman"/>
          <w:sz w:val="24"/>
          <w:szCs w:val="24"/>
        </w:rPr>
      </w:pPr>
      <w:r>
        <w:rPr>
          <w:rFonts w:hint="eastAsia" w:ascii="宋体" w:hAnsi="宋体" w:cs="宋体"/>
          <w:b/>
          <w:bCs/>
          <w:sz w:val="24"/>
          <w:szCs w:val="24"/>
        </w:rPr>
        <w:t>第一百六十三条</w:t>
      </w:r>
      <w:r>
        <w:rPr>
          <w:rFonts w:hint="eastAsia" w:ascii="宋体" w:hAnsi="宋体" w:cs="宋体"/>
          <w:sz w:val="24"/>
          <w:szCs w:val="24"/>
        </w:rPr>
        <w:t xml:space="preserve">  清算组在清理公司财产、编制资产负债表和财产清单后，应当制定清算方案，并报股东大会或者人民法院确认。</w:t>
      </w:r>
    </w:p>
    <w:p w14:paraId="587BEB9E">
      <w:pPr>
        <w:spacing w:line="360" w:lineRule="auto"/>
        <w:ind w:firstLine="480" w:firstLineChars="200"/>
        <w:rPr>
          <w:rFonts w:ascii="宋体" w:cs="Times New Roman"/>
          <w:sz w:val="24"/>
          <w:szCs w:val="24"/>
        </w:rPr>
      </w:pPr>
      <w:r>
        <w:rPr>
          <w:rFonts w:hint="eastAsia" w:ascii="宋体" w:hAnsi="宋体" w:cs="宋体"/>
          <w:sz w:val="24"/>
          <w:szCs w:val="24"/>
        </w:rPr>
        <w:t>公司财产在分别支付清算费用、职工的工资、社会保险费用和法定补偿金，缴纳所欠税款，清偿公司债务后的剩余财产，公司按照股东持有的股份比例分配。</w:t>
      </w:r>
    </w:p>
    <w:p w14:paraId="7CC79642">
      <w:pPr>
        <w:spacing w:line="360" w:lineRule="auto"/>
        <w:ind w:firstLine="480" w:firstLineChars="200"/>
        <w:rPr>
          <w:rFonts w:ascii="宋体" w:cs="Times New Roman"/>
          <w:sz w:val="24"/>
          <w:szCs w:val="24"/>
        </w:rPr>
      </w:pPr>
      <w:r>
        <w:rPr>
          <w:rFonts w:hint="eastAsia" w:ascii="宋体" w:hAnsi="宋体" w:cs="宋体"/>
          <w:sz w:val="24"/>
          <w:szCs w:val="24"/>
        </w:rPr>
        <w:t>清算期间，公司存续，但不能开展与清算无关的经营活动。公司财产在未按前款规定清偿前，将不会分配给股东。</w:t>
      </w:r>
    </w:p>
    <w:p w14:paraId="76089435">
      <w:pPr>
        <w:spacing w:line="360" w:lineRule="auto"/>
        <w:ind w:firstLine="482" w:firstLineChars="200"/>
        <w:rPr>
          <w:rFonts w:ascii="宋体" w:cs="Times New Roman"/>
          <w:sz w:val="24"/>
          <w:szCs w:val="24"/>
        </w:rPr>
      </w:pPr>
      <w:r>
        <w:rPr>
          <w:rFonts w:hint="eastAsia" w:ascii="宋体" w:hAnsi="宋体" w:cs="宋体"/>
          <w:b/>
          <w:bCs/>
          <w:sz w:val="24"/>
          <w:szCs w:val="24"/>
        </w:rPr>
        <w:t>第一百六十四条</w:t>
      </w:r>
      <w:r>
        <w:rPr>
          <w:rFonts w:hint="eastAsia" w:ascii="宋体" w:hAnsi="宋体" w:cs="宋体"/>
          <w:sz w:val="24"/>
          <w:szCs w:val="24"/>
        </w:rPr>
        <w:t xml:space="preserve">  清算组在清理公司财产、编制资产负债表和财产清单后，发现公司财产不足清偿债务的，应当依法向人民法院申请宣告破产。</w:t>
      </w:r>
    </w:p>
    <w:p w14:paraId="7A113067">
      <w:pPr>
        <w:spacing w:line="360" w:lineRule="auto"/>
        <w:ind w:firstLine="480" w:firstLineChars="200"/>
        <w:rPr>
          <w:rFonts w:ascii="宋体" w:cs="Times New Roman"/>
          <w:sz w:val="24"/>
          <w:szCs w:val="24"/>
        </w:rPr>
      </w:pPr>
      <w:r>
        <w:rPr>
          <w:rFonts w:hint="eastAsia" w:ascii="宋体" w:hAnsi="宋体" w:cs="宋体"/>
          <w:sz w:val="24"/>
          <w:szCs w:val="24"/>
        </w:rPr>
        <w:t>公司经人民法院裁定宣告破产后，清算组应当将清算事务移交给人民法院。</w:t>
      </w:r>
    </w:p>
    <w:p w14:paraId="4C60B54F">
      <w:pPr>
        <w:spacing w:line="360" w:lineRule="auto"/>
        <w:ind w:firstLine="482" w:firstLineChars="200"/>
        <w:rPr>
          <w:rFonts w:ascii="宋体" w:cs="Times New Roman"/>
          <w:sz w:val="24"/>
          <w:szCs w:val="24"/>
        </w:rPr>
      </w:pPr>
      <w:r>
        <w:rPr>
          <w:rFonts w:hint="eastAsia" w:ascii="宋体" w:hAnsi="宋体" w:cs="宋体"/>
          <w:b/>
          <w:bCs/>
          <w:sz w:val="24"/>
          <w:szCs w:val="24"/>
        </w:rPr>
        <w:t>第一百六十五条</w:t>
      </w:r>
      <w:r>
        <w:rPr>
          <w:rFonts w:hint="eastAsia" w:ascii="宋体" w:hAnsi="宋体" w:cs="宋体"/>
          <w:sz w:val="24"/>
          <w:szCs w:val="24"/>
        </w:rPr>
        <w:t xml:space="preserve">  公司清算结束后，清算组应当制作清算报告，报股东大会或者人民法院确认，并报送公司登记机关，申请注销公司登记，公告公司终止。</w:t>
      </w:r>
    </w:p>
    <w:p w14:paraId="74E3A9FA">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第一百六十六条  </w:t>
      </w:r>
      <w:r>
        <w:rPr>
          <w:rFonts w:hint="eastAsia" w:ascii="宋体" w:hAnsi="宋体" w:cs="宋体"/>
          <w:sz w:val="24"/>
          <w:szCs w:val="24"/>
        </w:rPr>
        <w:t>清算组成员应当忠于职守，依法履行清算义务。</w:t>
      </w:r>
    </w:p>
    <w:p w14:paraId="34D0FFDC">
      <w:pPr>
        <w:spacing w:line="360" w:lineRule="auto"/>
        <w:ind w:firstLine="480" w:firstLineChars="200"/>
        <w:rPr>
          <w:rFonts w:ascii="宋体" w:cs="Times New Roman"/>
          <w:sz w:val="24"/>
          <w:szCs w:val="24"/>
        </w:rPr>
      </w:pPr>
      <w:r>
        <w:rPr>
          <w:rFonts w:hint="eastAsia" w:ascii="宋体" w:hAnsi="宋体" w:cs="宋体"/>
          <w:sz w:val="24"/>
          <w:szCs w:val="24"/>
        </w:rPr>
        <w:t>清算组成员不得利用职权收受贿赂或者其他非法收入，不得侵占公司财产。</w:t>
      </w:r>
    </w:p>
    <w:p w14:paraId="64670F2D">
      <w:pPr>
        <w:spacing w:line="360" w:lineRule="auto"/>
        <w:ind w:firstLine="480" w:firstLineChars="200"/>
        <w:rPr>
          <w:rFonts w:ascii="宋体" w:cs="Times New Roman"/>
          <w:sz w:val="24"/>
          <w:szCs w:val="24"/>
        </w:rPr>
      </w:pPr>
      <w:r>
        <w:rPr>
          <w:rFonts w:hint="eastAsia" w:ascii="宋体" w:hAnsi="宋体" w:cs="宋体"/>
          <w:sz w:val="24"/>
          <w:szCs w:val="24"/>
        </w:rPr>
        <w:t>清算组成员因故意或者重大过失给公司或者债权人造成损失的，应当承担赔偿责任。</w:t>
      </w:r>
    </w:p>
    <w:p w14:paraId="1608FF80">
      <w:pPr>
        <w:spacing w:line="360" w:lineRule="auto"/>
        <w:ind w:firstLine="482" w:firstLineChars="200"/>
        <w:rPr>
          <w:rFonts w:ascii="宋体" w:cs="宋体"/>
          <w:sz w:val="24"/>
          <w:szCs w:val="24"/>
        </w:rPr>
      </w:pPr>
      <w:r>
        <w:rPr>
          <w:rFonts w:hint="eastAsia" w:ascii="宋体" w:hAnsi="宋体" w:cs="宋体"/>
          <w:b/>
          <w:bCs/>
          <w:sz w:val="24"/>
          <w:szCs w:val="24"/>
        </w:rPr>
        <w:t xml:space="preserve">第一百六十七条  </w:t>
      </w:r>
      <w:r>
        <w:rPr>
          <w:rFonts w:hint="eastAsia" w:ascii="宋体" w:hAnsi="宋体" w:cs="宋体"/>
          <w:sz w:val="24"/>
          <w:szCs w:val="24"/>
        </w:rPr>
        <w:t>公司被依法宣告破产的，依照有关企业破产的法律实施破产清算。</w:t>
      </w:r>
    </w:p>
    <w:p w14:paraId="1440B783">
      <w:pPr>
        <w:pStyle w:val="2"/>
        <w:rPr>
          <w:rFonts w:ascii="宋体" w:hAnsi="宋体" w:cs="宋体"/>
          <w:sz w:val="28"/>
          <w:szCs w:val="28"/>
        </w:rPr>
      </w:pPr>
      <w:bookmarkStart w:id="160" w:name="_Toc137879482"/>
      <w:bookmarkStart w:id="161" w:name="_Toc314734416"/>
      <w:bookmarkStart w:id="162" w:name="_Toc262635819"/>
      <w:bookmarkStart w:id="163" w:name="_Toc425712725"/>
      <w:bookmarkStart w:id="164" w:name="_Toc215991613"/>
      <w:bookmarkStart w:id="165" w:name="_Toc287717039"/>
      <w:r>
        <w:rPr>
          <w:rFonts w:hint="eastAsia" w:ascii="宋体" w:hAnsi="宋体" w:cs="宋体"/>
          <w:sz w:val="28"/>
          <w:szCs w:val="28"/>
        </w:rPr>
        <w:t>第十一章   修改章程</w:t>
      </w:r>
      <w:bookmarkEnd w:id="160"/>
      <w:bookmarkEnd w:id="161"/>
      <w:bookmarkEnd w:id="162"/>
      <w:bookmarkEnd w:id="163"/>
      <w:bookmarkEnd w:id="164"/>
      <w:bookmarkEnd w:id="165"/>
    </w:p>
    <w:p w14:paraId="52D93DEC"/>
    <w:p w14:paraId="5B3C3761">
      <w:pPr>
        <w:spacing w:line="360" w:lineRule="auto"/>
        <w:ind w:firstLine="482" w:firstLineChars="200"/>
        <w:rPr>
          <w:rFonts w:ascii="宋体" w:cs="Times New Roman"/>
          <w:sz w:val="24"/>
          <w:szCs w:val="24"/>
        </w:rPr>
      </w:pPr>
      <w:r>
        <w:rPr>
          <w:rFonts w:hint="eastAsia" w:ascii="宋体" w:hAnsi="宋体" w:cs="宋体"/>
          <w:b/>
          <w:bCs/>
          <w:sz w:val="24"/>
          <w:szCs w:val="24"/>
        </w:rPr>
        <w:t>第一百六十八条</w:t>
      </w:r>
      <w:r>
        <w:rPr>
          <w:rFonts w:hint="eastAsia" w:ascii="宋体" w:hAnsi="宋体" w:cs="宋体"/>
          <w:sz w:val="24"/>
          <w:szCs w:val="24"/>
        </w:rPr>
        <w:t>　有下列情形之一的，公司应当修改本章程：</w:t>
      </w:r>
    </w:p>
    <w:p w14:paraId="180D4225">
      <w:pPr>
        <w:spacing w:line="360" w:lineRule="auto"/>
        <w:ind w:firstLine="480" w:firstLineChars="200"/>
        <w:rPr>
          <w:rFonts w:ascii="宋体" w:cs="Times New Roman"/>
          <w:sz w:val="24"/>
          <w:szCs w:val="24"/>
        </w:rPr>
      </w:pPr>
      <w:r>
        <w:rPr>
          <w:rFonts w:hint="eastAsia" w:ascii="宋体" w:hAnsi="宋体" w:cs="宋体"/>
          <w:sz w:val="24"/>
          <w:szCs w:val="24"/>
        </w:rPr>
        <w:t>（一）《公司法》或有关法律、行政法规修改后，章程规定的事项与修改后的法律、行政法规的规定相抵触；</w:t>
      </w:r>
    </w:p>
    <w:p w14:paraId="453926F8">
      <w:pPr>
        <w:spacing w:line="360" w:lineRule="auto"/>
        <w:ind w:firstLine="480" w:firstLineChars="200"/>
        <w:rPr>
          <w:rFonts w:ascii="宋体" w:cs="Times New Roman"/>
          <w:sz w:val="24"/>
          <w:szCs w:val="24"/>
        </w:rPr>
      </w:pPr>
      <w:r>
        <w:rPr>
          <w:rFonts w:hint="eastAsia" w:ascii="宋体" w:hAnsi="宋体" w:cs="宋体"/>
          <w:sz w:val="24"/>
          <w:szCs w:val="24"/>
        </w:rPr>
        <w:t>（二）公司的情况发生变化，与章程记载的事项不一致；</w:t>
      </w:r>
    </w:p>
    <w:p w14:paraId="4650A917">
      <w:pPr>
        <w:spacing w:line="360" w:lineRule="auto"/>
        <w:ind w:firstLine="480" w:firstLineChars="200"/>
        <w:rPr>
          <w:rFonts w:ascii="宋体" w:cs="Times New Roman"/>
          <w:sz w:val="24"/>
          <w:szCs w:val="24"/>
        </w:rPr>
      </w:pPr>
      <w:r>
        <w:rPr>
          <w:rFonts w:hint="eastAsia" w:ascii="宋体" w:hAnsi="宋体" w:cs="宋体"/>
          <w:sz w:val="24"/>
          <w:szCs w:val="24"/>
        </w:rPr>
        <w:t>（三）股东大会决定修改章程。</w:t>
      </w:r>
    </w:p>
    <w:p w14:paraId="43A6C0CB">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第一百六十九条  </w:t>
      </w:r>
      <w:r>
        <w:rPr>
          <w:rFonts w:hint="eastAsia" w:ascii="宋体" w:hAnsi="宋体" w:cs="宋体"/>
          <w:sz w:val="24"/>
          <w:szCs w:val="24"/>
        </w:rPr>
        <w:t>股东大会决议通过的章程修改事项涉及公司登记事项的，依法办理变更登记。</w:t>
      </w:r>
    </w:p>
    <w:p w14:paraId="5645DE4C">
      <w:pPr>
        <w:spacing w:line="360" w:lineRule="auto"/>
        <w:ind w:firstLine="482" w:firstLineChars="200"/>
        <w:rPr>
          <w:rFonts w:ascii="宋体" w:cs="宋体"/>
          <w:sz w:val="24"/>
          <w:szCs w:val="24"/>
        </w:rPr>
      </w:pPr>
      <w:r>
        <w:rPr>
          <w:rFonts w:hint="eastAsia" w:ascii="宋体" w:hAnsi="宋体" w:cs="宋体"/>
          <w:b/>
          <w:bCs/>
          <w:sz w:val="24"/>
          <w:szCs w:val="24"/>
        </w:rPr>
        <w:t xml:space="preserve">第一百七十条  </w:t>
      </w:r>
      <w:r>
        <w:rPr>
          <w:rFonts w:hint="eastAsia" w:ascii="宋体" w:hAnsi="宋体" w:cs="宋体"/>
          <w:sz w:val="24"/>
          <w:szCs w:val="24"/>
        </w:rPr>
        <w:t>董事会依照股东大会修改章程的决议修改本章程。</w:t>
      </w:r>
    </w:p>
    <w:p w14:paraId="1EC51489">
      <w:pPr>
        <w:pStyle w:val="2"/>
        <w:rPr>
          <w:rFonts w:ascii="宋体" w:hAnsi="宋体" w:cs="宋体"/>
          <w:sz w:val="28"/>
          <w:szCs w:val="28"/>
        </w:rPr>
      </w:pPr>
      <w:bookmarkStart w:id="166" w:name="_Toc287717040"/>
      <w:bookmarkStart w:id="167" w:name="_Toc262635820"/>
      <w:bookmarkStart w:id="168" w:name="_Toc314734417"/>
      <w:bookmarkStart w:id="169" w:name="_Toc425712726"/>
      <w:bookmarkStart w:id="170" w:name="_Toc215991614"/>
      <w:bookmarkStart w:id="171" w:name="_Toc137879483"/>
      <w:r>
        <w:rPr>
          <w:rFonts w:hint="eastAsia" w:ascii="宋体" w:hAnsi="宋体" w:cs="宋体"/>
          <w:sz w:val="28"/>
          <w:szCs w:val="28"/>
        </w:rPr>
        <w:t>第十二章   附  则</w:t>
      </w:r>
      <w:bookmarkEnd w:id="166"/>
      <w:bookmarkEnd w:id="167"/>
      <w:bookmarkEnd w:id="168"/>
      <w:bookmarkEnd w:id="169"/>
      <w:bookmarkEnd w:id="170"/>
      <w:bookmarkEnd w:id="171"/>
    </w:p>
    <w:p w14:paraId="36DCBE31"/>
    <w:p w14:paraId="6FE26A9A">
      <w:pPr>
        <w:spacing w:line="360" w:lineRule="auto"/>
        <w:ind w:firstLine="482" w:firstLineChars="200"/>
        <w:rPr>
          <w:rFonts w:ascii="宋体" w:cs="Times New Roman"/>
          <w:sz w:val="24"/>
          <w:szCs w:val="24"/>
        </w:rPr>
      </w:pPr>
      <w:r>
        <w:rPr>
          <w:rFonts w:hint="eastAsia" w:ascii="宋体" w:hAnsi="宋体" w:cs="宋体"/>
          <w:b/>
          <w:bCs/>
          <w:sz w:val="24"/>
          <w:szCs w:val="24"/>
        </w:rPr>
        <w:t>第一百七十一条</w:t>
      </w:r>
      <w:r>
        <w:rPr>
          <w:rFonts w:hint="eastAsia" w:ascii="宋体" w:hAnsi="宋体" w:cs="宋体"/>
          <w:sz w:val="24"/>
          <w:szCs w:val="24"/>
        </w:rPr>
        <w:t xml:space="preserve">  </w:t>
      </w:r>
      <w:r>
        <w:rPr>
          <w:rFonts w:hint="eastAsia" w:ascii="宋体" w:hAnsi="宋体" w:cs="宋体"/>
          <w:b/>
          <w:bCs/>
          <w:sz w:val="24"/>
          <w:szCs w:val="24"/>
        </w:rPr>
        <w:t>释义</w:t>
      </w:r>
    </w:p>
    <w:p w14:paraId="7085937F">
      <w:pPr>
        <w:spacing w:line="360" w:lineRule="auto"/>
        <w:ind w:firstLine="480" w:firstLineChars="200"/>
        <w:rPr>
          <w:rFonts w:ascii="宋体" w:cs="Times New Roman"/>
          <w:sz w:val="24"/>
          <w:szCs w:val="24"/>
        </w:rPr>
      </w:pPr>
      <w:r>
        <w:rPr>
          <w:rFonts w:hint="eastAsia" w:ascii="宋体" w:hAnsi="宋体" w:cs="宋体"/>
          <w:sz w:val="24"/>
          <w:szCs w:val="24"/>
        </w:rPr>
        <w:t>（一）控股股东，是指其持有的股份占公司股本总额</w:t>
      </w:r>
      <w:r>
        <w:rPr>
          <w:rFonts w:ascii="宋体" w:hAnsi="宋体" w:cs="宋体"/>
          <w:sz w:val="24"/>
          <w:szCs w:val="24"/>
        </w:rPr>
        <w:t>50%</w:t>
      </w:r>
      <w:r>
        <w:rPr>
          <w:rFonts w:hint="eastAsia" w:ascii="宋体" w:hAnsi="宋体" w:cs="宋体"/>
          <w:sz w:val="24"/>
          <w:szCs w:val="24"/>
        </w:rPr>
        <w:t>以上的股东；持有股份的比例虽然不足</w:t>
      </w:r>
      <w:r>
        <w:rPr>
          <w:rFonts w:ascii="宋体" w:hAnsi="宋体" w:cs="宋体"/>
          <w:sz w:val="24"/>
          <w:szCs w:val="24"/>
        </w:rPr>
        <w:t>50%</w:t>
      </w:r>
      <w:r>
        <w:rPr>
          <w:rFonts w:hint="eastAsia" w:ascii="宋体" w:hAnsi="宋体" w:cs="宋体"/>
          <w:sz w:val="24"/>
          <w:szCs w:val="24"/>
        </w:rPr>
        <w:t>，但依其持有的股份所享有的表决权已足以对股东大会的决议产生重大影响的股东。</w:t>
      </w:r>
    </w:p>
    <w:p w14:paraId="39356BA3">
      <w:pPr>
        <w:spacing w:line="360" w:lineRule="auto"/>
        <w:ind w:firstLine="480" w:firstLineChars="200"/>
        <w:rPr>
          <w:rFonts w:ascii="宋体" w:cs="Times New Roman"/>
          <w:sz w:val="24"/>
          <w:szCs w:val="24"/>
        </w:rPr>
      </w:pPr>
      <w:r>
        <w:rPr>
          <w:rFonts w:hint="eastAsia" w:ascii="宋体" w:hAnsi="宋体" w:cs="宋体"/>
          <w:sz w:val="24"/>
          <w:szCs w:val="24"/>
        </w:rPr>
        <w:t>（二）实际控制人，是指虽不是公司的股东，但通过投资关系、协议或者其他安排，能够实际支配公司行为的人。</w:t>
      </w:r>
    </w:p>
    <w:p w14:paraId="39B33BB8">
      <w:pPr>
        <w:spacing w:line="360" w:lineRule="auto"/>
        <w:ind w:firstLine="480" w:firstLineChars="200"/>
        <w:rPr>
          <w:rFonts w:ascii="宋体" w:cs="Times New Roman"/>
          <w:sz w:val="24"/>
          <w:szCs w:val="24"/>
        </w:rPr>
      </w:pPr>
      <w:r>
        <w:rPr>
          <w:rFonts w:hint="eastAsia" w:ascii="宋体" w:hAnsi="宋体" w:cs="宋体"/>
          <w:sz w:val="24"/>
          <w:szCs w:val="24"/>
        </w:rPr>
        <w:t>（三）关联关系，是指公司控股股东、实际控制人、董事、监事、高级管理人员与其直接或者间接控制的企业之间的关系，以及可能导致公司利益转移的其他关系。</w:t>
      </w:r>
    </w:p>
    <w:p w14:paraId="0321658A">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第一百七十二条  </w:t>
      </w:r>
      <w:r>
        <w:rPr>
          <w:rFonts w:hint="eastAsia" w:ascii="宋体" w:hAnsi="宋体" w:cs="宋体"/>
          <w:sz w:val="24"/>
          <w:szCs w:val="24"/>
        </w:rPr>
        <w:t>董事会可依照章程的规定，制订章程细则。章程细则不得与章程的规定相抵触。</w:t>
      </w:r>
    </w:p>
    <w:p w14:paraId="1D1817D7">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第一百七十三条  </w:t>
      </w:r>
      <w:r>
        <w:rPr>
          <w:rFonts w:hint="eastAsia" w:ascii="宋体" w:hAnsi="宋体" w:cs="宋体"/>
          <w:sz w:val="24"/>
          <w:szCs w:val="24"/>
        </w:rPr>
        <w:t>本章程以中文书写，其他任何语种或不同版本的章程与本章程有歧义时，以在</w:t>
      </w:r>
      <w:r>
        <w:rPr>
          <w:rFonts w:ascii="宋体" w:hAnsi="宋体" w:cs="宋体"/>
          <w:sz w:val="24"/>
          <w:szCs w:val="24"/>
        </w:rPr>
        <w:t>【】</w:t>
      </w:r>
      <w:r>
        <w:rPr>
          <w:rFonts w:hint="eastAsia" w:ascii="宋体" w:hAnsi="宋体" w:cs="宋体"/>
          <w:sz w:val="24"/>
          <w:szCs w:val="24"/>
        </w:rPr>
        <w:t>最近一次核准登记的中文版本为准。</w:t>
      </w:r>
    </w:p>
    <w:p w14:paraId="47C8BAD4">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第一百七十四条  </w:t>
      </w:r>
      <w:r>
        <w:rPr>
          <w:rFonts w:hint="eastAsia" w:ascii="宋体" w:hAnsi="宋体" w:cs="宋体"/>
          <w:sz w:val="24"/>
          <w:szCs w:val="24"/>
        </w:rPr>
        <w:t>本章程所称“以上”、“以内”、“以下”都含本数；“不满”、“以外”、“低于”、“超过”不含本数。</w:t>
      </w:r>
    </w:p>
    <w:p w14:paraId="709CD33C">
      <w:pPr>
        <w:spacing w:line="360" w:lineRule="auto"/>
        <w:ind w:firstLine="482" w:firstLineChars="200"/>
        <w:rPr>
          <w:rFonts w:ascii="宋体" w:cs="Times New Roman"/>
          <w:sz w:val="24"/>
          <w:szCs w:val="24"/>
        </w:rPr>
      </w:pPr>
      <w:r>
        <w:rPr>
          <w:rFonts w:hint="eastAsia" w:ascii="宋体" w:hAnsi="宋体" w:cs="宋体"/>
          <w:b/>
          <w:bCs/>
          <w:sz w:val="24"/>
          <w:szCs w:val="24"/>
        </w:rPr>
        <w:t xml:space="preserve">第一百七十五条  </w:t>
      </w:r>
      <w:r>
        <w:rPr>
          <w:rFonts w:hint="eastAsia" w:ascii="宋体" w:hAnsi="宋体" w:cs="宋体"/>
          <w:sz w:val="24"/>
          <w:szCs w:val="24"/>
        </w:rPr>
        <w:t>本章程附件包括股东大会议事规则、董事会议事规则和监事会议事规则。</w:t>
      </w:r>
    </w:p>
    <w:p w14:paraId="27FF0595">
      <w:pPr>
        <w:spacing w:line="360" w:lineRule="auto"/>
        <w:ind w:firstLine="482" w:firstLineChars="200"/>
        <w:rPr>
          <w:rFonts w:ascii="宋体" w:cs="宋体"/>
          <w:sz w:val="24"/>
          <w:szCs w:val="24"/>
        </w:rPr>
      </w:pPr>
      <w:r>
        <w:rPr>
          <w:rFonts w:hint="eastAsia" w:ascii="宋体" w:hAnsi="宋体" w:cs="宋体"/>
          <w:b/>
          <w:bCs/>
          <w:sz w:val="24"/>
          <w:szCs w:val="24"/>
        </w:rPr>
        <w:t xml:space="preserve">第一百七十六条  </w:t>
      </w:r>
      <w:r>
        <w:rPr>
          <w:rFonts w:hint="eastAsia" w:ascii="宋体" w:hAnsi="宋体" w:cs="宋体"/>
          <w:sz w:val="24"/>
          <w:szCs w:val="24"/>
        </w:rPr>
        <w:t>本章程由公司董事会负责解释。</w:t>
      </w:r>
    </w:p>
    <w:p w14:paraId="29CE760D">
      <w:pPr>
        <w:spacing w:line="360" w:lineRule="auto"/>
        <w:rPr>
          <w:rFonts w:ascii="宋体" w:cs="Times New Roman"/>
          <w:sz w:val="24"/>
          <w:szCs w:val="24"/>
        </w:rPr>
      </w:pPr>
    </w:p>
    <w:p w14:paraId="00925C35">
      <w:pPr>
        <w:spacing w:line="360" w:lineRule="auto"/>
        <w:jc w:val="right"/>
        <w:rPr>
          <w:rFonts w:ascii="宋体" w:hAnsi="宋体" w:cs="宋体"/>
          <w:bCs/>
          <w:sz w:val="24"/>
          <w:szCs w:val="24"/>
        </w:rPr>
      </w:pPr>
      <w:r>
        <w:rPr>
          <w:rFonts w:ascii="宋体" w:hAnsi="宋体" w:cs="宋体"/>
          <w:bCs/>
          <w:sz w:val="24"/>
          <w:szCs w:val="24"/>
        </w:rPr>
        <w:t>【】</w:t>
      </w:r>
      <w:r>
        <w:rPr>
          <w:rFonts w:hint="eastAsia" w:ascii="宋体" w:hAnsi="宋体" w:cs="宋体"/>
          <w:bCs/>
          <w:sz w:val="24"/>
          <w:szCs w:val="24"/>
        </w:rPr>
        <w:t>股份有限公司</w:t>
      </w:r>
    </w:p>
    <w:p w14:paraId="7290BEFE">
      <w:pPr>
        <w:spacing w:line="360" w:lineRule="auto"/>
        <w:ind w:left="359" w:leftChars="171" w:firstLine="5640" w:firstLineChars="2350"/>
        <w:rPr>
          <w:rFonts w:ascii="宋体" w:cs="宋体"/>
          <w:sz w:val="24"/>
          <w:szCs w:val="24"/>
        </w:rPr>
      </w:pPr>
      <w:r>
        <w:rPr>
          <w:rFonts w:ascii="宋体" w:hAnsi="宋体" w:cs="宋体"/>
          <w:sz w:val="24"/>
          <w:szCs w:val="24"/>
        </w:rPr>
        <w:t xml:space="preserve">     </w:t>
      </w:r>
      <w:r>
        <w:rPr>
          <w:rFonts w:hint="eastAsia" w:ascii="宋体" w:hAnsi="宋体" w:cs="宋体"/>
          <w:sz w:val="24"/>
          <w:szCs w:val="24"/>
        </w:rPr>
        <w:t>年    月    日</w:t>
      </w:r>
    </w:p>
    <w:p w14:paraId="01268075">
      <w:pPr>
        <w:spacing w:line="360" w:lineRule="auto"/>
        <w:ind w:firstLine="6480" w:firstLineChars="2700"/>
        <w:rPr>
          <w:rFonts w:ascii="宋体" w:cs="宋体"/>
          <w:sz w:val="24"/>
          <w:szCs w:val="24"/>
        </w:rPr>
      </w:pPr>
    </w:p>
    <w:p w14:paraId="65E94E44">
      <w:pPr>
        <w:spacing w:line="360" w:lineRule="auto"/>
        <w:ind w:firstLine="6480" w:firstLineChars="2700"/>
        <w:rPr>
          <w:rFonts w:ascii="宋体" w:cs="宋体"/>
          <w:sz w:val="24"/>
          <w:szCs w:val="24"/>
        </w:rPr>
      </w:pPr>
    </w:p>
    <w:p w14:paraId="0C14E369">
      <w:pPr>
        <w:spacing w:line="360" w:lineRule="auto"/>
        <w:ind w:firstLine="6480" w:firstLineChars="2700"/>
        <w:rPr>
          <w:rFonts w:ascii="宋体" w:cs="宋体"/>
          <w:sz w:val="24"/>
          <w:szCs w:val="24"/>
        </w:rPr>
      </w:pPr>
    </w:p>
    <w:p w14:paraId="7C0CEAB8">
      <w:pPr>
        <w:spacing w:line="360" w:lineRule="auto"/>
        <w:ind w:firstLine="6480" w:firstLineChars="2700"/>
        <w:rPr>
          <w:rFonts w:ascii="宋体" w:cs="宋体"/>
          <w:sz w:val="24"/>
          <w:szCs w:val="24"/>
        </w:rPr>
      </w:pPr>
    </w:p>
    <w:p w14:paraId="052695CB">
      <w:pPr>
        <w:spacing w:line="360" w:lineRule="auto"/>
        <w:ind w:firstLine="6480" w:firstLineChars="2700"/>
        <w:rPr>
          <w:rFonts w:ascii="宋体" w:cs="宋体"/>
          <w:sz w:val="24"/>
          <w:szCs w:val="24"/>
        </w:rPr>
      </w:pPr>
    </w:p>
    <w:p w14:paraId="08E6502A">
      <w:pPr>
        <w:spacing w:line="360" w:lineRule="auto"/>
        <w:ind w:firstLine="6480" w:firstLineChars="2700"/>
        <w:rPr>
          <w:rFonts w:ascii="宋体" w:cs="宋体"/>
          <w:sz w:val="24"/>
          <w:szCs w:val="24"/>
        </w:rPr>
      </w:pPr>
    </w:p>
    <w:p w14:paraId="5C1727FF">
      <w:pPr>
        <w:spacing w:line="360" w:lineRule="auto"/>
        <w:ind w:firstLine="6480" w:firstLineChars="2700"/>
        <w:rPr>
          <w:rFonts w:ascii="宋体" w:cs="宋体"/>
          <w:sz w:val="24"/>
          <w:szCs w:val="24"/>
        </w:rPr>
      </w:pPr>
    </w:p>
    <w:p w14:paraId="55F83FE7">
      <w:pPr>
        <w:spacing w:line="360" w:lineRule="auto"/>
        <w:ind w:firstLine="6480" w:firstLineChars="2700"/>
        <w:rPr>
          <w:rFonts w:ascii="宋体" w:cs="宋体"/>
          <w:sz w:val="24"/>
          <w:szCs w:val="24"/>
        </w:rPr>
      </w:pPr>
    </w:p>
    <w:p w14:paraId="2B85AE09">
      <w:pPr>
        <w:spacing w:line="360" w:lineRule="auto"/>
        <w:ind w:firstLine="6480" w:firstLineChars="2700"/>
        <w:rPr>
          <w:rFonts w:ascii="宋体" w:cs="宋体"/>
          <w:sz w:val="24"/>
          <w:szCs w:val="24"/>
        </w:rPr>
      </w:pPr>
    </w:p>
    <w:p w14:paraId="792C0779">
      <w:pPr>
        <w:spacing w:line="360" w:lineRule="auto"/>
        <w:ind w:firstLine="6480" w:firstLineChars="2700"/>
        <w:rPr>
          <w:rFonts w:ascii="宋体" w:cs="宋体"/>
          <w:sz w:val="24"/>
          <w:szCs w:val="24"/>
        </w:rPr>
      </w:pPr>
    </w:p>
    <w:p w14:paraId="0B997670">
      <w:pPr>
        <w:spacing w:line="360" w:lineRule="auto"/>
        <w:ind w:firstLine="6480" w:firstLineChars="2700"/>
        <w:rPr>
          <w:rFonts w:ascii="宋体" w:cs="宋体"/>
          <w:sz w:val="24"/>
          <w:szCs w:val="24"/>
        </w:rPr>
      </w:pPr>
    </w:p>
    <w:p w14:paraId="587F1B93">
      <w:pPr>
        <w:spacing w:line="360" w:lineRule="auto"/>
        <w:ind w:firstLine="6480" w:firstLineChars="2700"/>
        <w:rPr>
          <w:rFonts w:ascii="宋体" w:cs="宋体"/>
          <w:sz w:val="24"/>
          <w:szCs w:val="24"/>
        </w:rPr>
      </w:pPr>
    </w:p>
    <w:p w14:paraId="159484EE">
      <w:pPr>
        <w:spacing w:line="360" w:lineRule="auto"/>
        <w:ind w:firstLine="6480" w:firstLineChars="2700"/>
        <w:rPr>
          <w:rFonts w:ascii="宋体" w:cs="宋体"/>
          <w:sz w:val="24"/>
          <w:szCs w:val="24"/>
        </w:rPr>
      </w:pPr>
    </w:p>
    <w:p w14:paraId="4961317A">
      <w:pPr>
        <w:spacing w:line="360" w:lineRule="auto"/>
        <w:ind w:firstLine="6480" w:firstLineChars="2700"/>
        <w:rPr>
          <w:rFonts w:ascii="宋体" w:cs="宋体"/>
          <w:sz w:val="24"/>
          <w:szCs w:val="24"/>
        </w:rPr>
      </w:pPr>
    </w:p>
    <w:p w14:paraId="4C211FBE">
      <w:pPr>
        <w:spacing w:line="360" w:lineRule="auto"/>
        <w:ind w:firstLine="6480" w:firstLineChars="2700"/>
        <w:rPr>
          <w:rFonts w:ascii="宋体" w:cs="宋体"/>
          <w:sz w:val="24"/>
          <w:szCs w:val="24"/>
        </w:rPr>
      </w:pPr>
    </w:p>
    <w:p w14:paraId="7CA29139">
      <w:pPr>
        <w:spacing w:line="360" w:lineRule="auto"/>
        <w:ind w:firstLine="6480" w:firstLineChars="2700"/>
        <w:rPr>
          <w:rFonts w:ascii="宋体" w:cs="宋体"/>
          <w:sz w:val="24"/>
          <w:szCs w:val="24"/>
        </w:rPr>
      </w:pPr>
    </w:p>
    <w:p w14:paraId="7E44739F">
      <w:pPr>
        <w:spacing w:line="360" w:lineRule="auto"/>
        <w:ind w:firstLine="6480" w:firstLineChars="2700"/>
        <w:rPr>
          <w:rFonts w:ascii="宋体" w:cs="宋体"/>
          <w:sz w:val="24"/>
          <w:szCs w:val="24"/>
        </w:rPr>
      </w:pPr>
    </w:p>
    <w:p w14:paraId="4966735F">
      <w:pPr>
        <w:spacing w:line="360" w:lineRule="auto"/>
        <w:ind w:firstLine="6480" w:firstLineChars="2700"/>
        <w:rPr>
          <w:rFonts w:ascii="宋体" w:cs="宋体"/>
          <w:sz w:val="24"/>
          <w:szCs w:val="24"/>
        </w:rPr>
      </w:pPr>
    </w:p>
    <w:p w14:paraId="15CB2B30">
      <w:pPr>
        <w:spacing w:line="360" w:lineRule="auto"/>
        <w:ind w:firstLine="6480" w:firstLineChars="2700"/>
        <w:rPr>
          <w:rFonts w:ascii="宋体" w:cs="宋体"/>
          <w:sz w:val="24"/>
          <w:szCs w:val="24"/>
        </w:rPr>
      </w:pPr>
    </w:p>
    <w:p w14:paraId="5CFB9202">
      <w:pPr>
        <w:spacing w:line="360" w:lineRule="auto"/>
        <w:ind w:firstLine="6480" w:firstLineChars="2700"/>
        <w:rPr>
          <w:rFonts w:ascii="宋体" w:cs="宋体"/>
          <w:sz w:val="24"/>
          <w:szCs w:val="24"/>
        </w:rPr>
      </w:pPr>
    </w:p>
    <w:p w14:paraId="06DCAE20">
      <w:pPr>
        <w:spacing w:line="360" w:lineRule="auto"/>
        <w:ind w:firstLine="6480" w:firstLineChars="2700"/>
        <w:rPr>
          <w:rFonts w:ascii="宋体" w:cs="宋体"/>
          <w:sz w:val="24"/>
          <w:szCs w:val="24"/>
        </w:rPr>
      </w:pPr>
    </w:p>
    <w:p w14:paraId="29BD4CE6">
      <w:pPr>
        <w:spacing w:line="360" w:lineRule="auto"/>
        <w:ind w:firstLine="6480" w:firstLineChars="2700"/>
        <w:rPr>
          <w:rFonts w:ascii="宋体" w:cs="宋体"/>
          <w:sz w:val="24"/>
          <w:szCs w:val="24"/>
        </w:rPr>
      </w:pPr>
    </w:p>
    <w:p w14:paraId="447F1CA6">
      <w:pPr>
        <w:spacing w:line="360" w:lineRule="auto"/>
        <w:ind w:firstLine="6480" w:firstLineChars="2700"/>
        <w:rPr>
          <w:rFonts w:ascii="宋体" w:cs="宋体"/>
          <w:sz w:val="24"/>
          <w:szCs w:val="24"/>
        </w:rPr>
      </w:pPr>
    </w:p>
    <w:p w14:paraId="6106A7C2">
      <w:pPr>
        <w:spacing w:line="360" w:lineRule="auto"/>
        <w:ind w:firstLine="6480" w:firstLineChars="2700"/>
        <w:rPr>
          <w:rFonts w:ascii="宋体" w:cs="宋体"/>
          <w:sz w:val="24"/>
          <w:szCs w:val="24"/>
        </w:rPr>
      </w:pPr>
    </w:p>
    <w:p w14:paraId="48BC46F7">
      <w:pPr>
        <w:spacing w:line="360" w:lineRule="auto"/>
        <w:rPr>
          <w:rFonts w:ascii="宋体" w:cs="Times New Roman"/>
          <w:b/>
          <w:sz w:val="24"/>
          <w:szCs w:val="24"/>
        </w:rPr>
      </w:pPr>
      <w:r>
        <w:rPr>
          <w:rFonts w:hint="eastAsia" w:ascii="宋体" w:hAnsi="宋体" w:cs="宋体"/>
          <w:b/>
          <w:sz w:val="24"/>
          <w:szCs w:val="24"/>
        </w:rPr>
        <w:t>（此页无正文，为《【】股份有限公司章程》之股东签署页）</w:t>
      </w:r>
    </w:p>
    <w:p w14:paraId="68678B1A">
      <w:pPr>
        <w:tabs>
          <w:tab w:val="left" w:pos="1080"/>
          <w:tab w:val="left" w:pos="1800"/>
        </w:tabs>
        <w:autoSpaceDE w:val="0"/>
        <w:autoSpaceDN w:val="0"/>
        <w:adjustRightInd w:val="0"/>
        <w:snapToGrid w:val="0"/>
        <w:spacing w:line="360" w:lineRule="auto"/>
        <w:rPr>
          <w:rFonts w:ascii="宋体" w:hAnsi="宋体"/>
          <w:b/>
          <w:bCs/>
          <w:sz w:val="24"/>
          <w:u w:val="single"/>
        </w:rPr>
      </w:pPr>
    </w:p>
    <w:p w14:paraId="099EEDE7">
      <w:pPr>
        <w:tabs>
          <w:tab w:val="left" w:pos="1080"/>
          <w:tab w:val="left" w:pos="1800"/>
        </w:tabs>
        <w:autoSpaceDE w:val="0"/>
        <w:autoSpaceDN w:val="0"/>
        <w:adjustRightInd w:val="0"/>
        <w:snapToGrid w:val="0"/>
        <w:spacing w:line="360" w:lineRule="auto"/>
        <w:rPr>
          <w:rFonts w:ascii="宋体" w:hAnsi="宋体"/>
          <w:b/>
          <w:bCs/>
          <w:sz w:val="24"/>
          <w:u w:val="single"/>
        </w:rPr>
      </w:pPr>
    </w:p>
    <w:p w14:paraId="2D33E90A">
      <w:pPr>
        <w:tabs>
          <w:tab w:val="left" w:pos="1080"/>
          <w:tab w:val="left" w:pos="1800"/>
        </w:tabs>
        <w:autoSpaceDE w:val="0"/>
        <w:autoSpaceDN w:val="0"/>
        <w:adjustRightInd w:val="0"/>
        <w:snapToGrid w:val="0"/>
        <w:spacing w:line="360" w:lineRule="auto"/>
        <w:rPr>
          <w:rFonts w:ascii="宋体" w:hAnsi="宋体" w:cs="Arial"/>
          <w:color w:val="000000"/>
          <w:sz w:val="24"/>
        </w:rPr>
      </w:pPr>
      <w:r>
        <w:rPr>
          <w:rFonts w:hint="eastAsia" w:ascii="宋体" w:hAnsi="宋体"/>
          <w:b/>
          <w:bCs/>
          <w:sz w:val="24"/>
          <w:u w:val="single"/>
        </w:rPr>
        <w:t xml:space="preserve">                    </w:t>
      </w:r>
      <w:r>
        <w:rPr>
          <w:rFonts w:hint="eastAsia" w:ascii="宋体" w:hAnsi="宋体"/>
          <w:b/>
          <w:bCs/>
          <w:sz w:val="24"/>
        </w:rPr>
        <w:t xml:space="preserve">                   </w:t>
      </w:r>
    </w:p>
    <w:p w14:paraId="27D91B7E">
      <w:pPr>
        <w:tabs>
          <w:tab w:val="left" w:pos="1080"/>
          <w:tab w:val="left" w:pos="1800"/>
        </w:tabs>
        <w:autoSpaceDE w:val="0"/>
        <w:autoSpaceDN w:val="0"/>
        <w:adjustRightInd w:val="0"/>
        <w:snapToGrid w:val="0"/>
        <w:spacing w:line="360" w:lineRule="auto"/>
        <w:ind w:firstLine="840" w:firstLineChars="350"/>
        <w:rPr>
          <w:rFonts w:ascii="宋体" w:hAnsi="宋体"/>
          <w:bCs/>
          <w:sz w:val="24"/>
        </w:rPr>
      </w:pPr>
    </w:p>
    <w:p w14:paraId="62673103">
      <w:pPr>
        <w:tabs>
          <w:tab w:val="left" w:pos="1080"/>
          <w:tab w:val="left" w:pos="1800"/>
        </w:tabs>
        <w:autoSpaceDE w:val="0"/>
        <w:autoSpaceDN w:val="0"/>
        <w:adjustRightInd w:val="0"/>
        <w:snapToGrid w:val="0"/>
        <w:spacing w:line="360" w:lineRule="auto"/>
        <w:rPr>
          <w:rFonts w:ascii="宋体" w:hAnsi="宋体"/>
          <w:b/>
          <w:bCs/>
          <w:sz w:val="24"/>
          <w:u w:val="single"/>
        </w:rPr>
      </w:pPr>
    </w:p>
    <w:p w14:paraId="57A27AB0">
      <w:pPr>
        <w:tabs>
          <w:tab w:val="left" w:pos="1080"/>
          <w:tab w:val="left" w:pos="1800"/>
        </w:tabs>
        <w:autoSpaceDE w:val="0"/>
        <w:autoSpaceDN w:val="0"/>
        <w:adjustRightInd w:val="0"/>
        <w:snapToGrid w:val="0"/>
        <w:spacing w:line="360" w:lineRule="auto"/>
        <w:rPr>
          <w:rFonts w:ascii="宋体" w:hAnsi="宋体" w:cs="Arial"/>
          <w:color w:val="000000"/>
          <w:sz w:val="24"/>
        </w:rPr>
      </w:pPr>
    </w:p>
    <w:p w14:paraId="4449A964">
      <w:pPr>
        <w:adjustRightInd w:val="0"/>
        <w:snapToGrid w:val="0"/>
        <w:spacing w:line="360" w:lineRule="auto"/>
        <w:rPr>
          <w:rFonts w:ascii="宋体" w:hAnsi="宋体"/>
          <w:bCs/>
          <w:sz w:val="24"/>
        </w:rPr>
      </w:pPr>
    </w:p>
    <w:p w14:paraId="4025DB19">
      <w:pPr>
        <w:adjustRightInd w:val="0"/>
        <w:snapToGrid w:val="0"/>
        <w:spacing w:line="360" w:lineRule="auto"/>
        <w:jc w:val="right"/>
        <w:rPr>
          <w:rFonts w:ascii="宋体" w:hAnsi="宋体" w:cs="宋体"/>
          <w:sz w:val="24"/>
        </w:rPr>
      </w:pPr>
      <w:r>
        <w:rPr>
          <w:rFonts w:hint="eastAsia" w:ascii="宋体" w:hAnsi="宋体"/>
          <w:sz w:val="24"/>
        </w:rPr>
        <w:t xml:space="preserve">     </w:t>
      </w:r>
      <w:r>
        <w:rPr>
          <w:rFonts w:hint="eastAsia" w:ascii="宋体" w:hAnsi="宋体" w:cs="宋体"/>
          <w:sz w:val="24"/>
        </w:rPr>
        <w:t>年</w:t>
      </w:r>
      <w:r>
        <w:rPr>
          <w:rFonts w:hint="eastAsia" w:ascii="宋体" w:hAnsi="宋体"/>
          <w:sz w:val="24"/>
        </w:rPr>
        <w:t xml:space="preserve">   </w:t>
      </w:r>
      <w:r>
        <w:rPr>
          <w:rFonts w:hint="eastAsia" w:ascii="宋体" w:hAnsi="宋体" w:cs="宋体"/>
          <w:sz w:val="24"/>
        </w:rPr>
        <w:t>月</w:t>
      </w:r>
      <w:r>
        <w:rPr>
          <w:rFonts w:hint="eastAsia" w:ascii="宋体" w:hAnsi="宋体"/>
          <w:sz w:val="24"/>
        </w:rPr>
        <w:t xml:space="preserve">   </w:t>
      </w:r>
      <w:r>
        <w:rPr>
          <w:rFonts w:hint="eastAsia" w:ascii="宋体" w:hAnsi="宋体" w:cs="宋体"/>
          <w:sz w:val="24"/>
        </w:rPr>
        <w:t>日</w:t>
      </w:r>
    </w:p>
    <w:p w14:paraId="257B6379">
      <w:pPr>
        <w:adjustRightInd w:val="0"/>
        <w:snapToGrid w:val="0"/>
        <w:spacing w:line="360" w:lineRule="auto"/>
        <w:rPr>
          <w:rFonts w:ascii="宋体" w:hAnsi="宋体" w:cs="宋体"/>
          <w:sz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56C6">
    <w:pPr>
      <w:pStyle w:val="13"/>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w:t>
    </w:r>
    <w:r>
      <w:rPr>
        <w:rStyle w:val="25"/>
      </w:rPr>
      <w:fldChar w:fldCharType="end"/>
    </w:r>
  </w:p>
  <w:p w14:paraId="11A84180">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F831">
    <w:pPr>
      <w:pStyle w:val="13"/>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25</w:t>
    </w:r>
    <w:r>
      <w:rPr>
        <w:rStyle w:val="25"/>
      </w:rPr>
      <w:fldChar w:fldCharType="end"/>
    </w:r>
  </w:p>
  <w:p w14:paraId="7883CD3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1613E"/>
    <w:multiLevelType w:val="multilevel"/>
    <w:tmpl w:val="02C1613E"/>
    <w:lvl w:ilvl="0" w:tentative="0">
      <w:start w:val="5"/>
      <w:numFmt w:val="japaneseCounting"/>
      <w:lvlText w:val="（%1）"/>
      <w:lvlJc w:val="left"/>
      <w:pPr>
        <w:ind w:left="1200" w:hanging="720"/>
      </w:pPr>
      <w:rPr>
        <w:rFonts w:hint="default" w:hAnsi="宋体"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1C6E7087"/>
    <w:multiLevelType w:val="multilevel"/>
    <w:tmpl w:val="1C6E7087"/>
    <w:lvl w:ilvl="0" w:tentative="0">
      <w:start w:val="1"/>
      <w:numFmt w:val="japaneseCounting"/>
      <w:lvlText w:val="（%1）"/>
      <w:lvlJc w:val="left"/>
      <w:pPr>
        <w:tabs>
          <w:tab w:val="left" w:pos="1200"/>
        </w:tabs>
        <w:ind w:left="1200" w:hanging="720"/>
      </w:pPr>
      <w:rPr>
        <w:rFonts w:ascii="宋体" w:hAnsi="宋体" w:eastAsia="宋体" w:cs="Times New Roman"/>
        <w:color w:val="auto"/>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7139A"/>
    <w:rsid w:val="00000307"/>
    <w:rsid w:val="0000098E"/>
    <w:rsid w:val="00001201"/>
    <w:rsid w:val="00001239"/>
    <w:rsid w:val="00001AA9"/>
    <w:rsid w:val="000022AB"/>
    <w:rsid w:val="0000240B"/>
    <w:rsid w:val="00002667"/>
    <w:rsid w:val="00002F62"/>
    <w:rsid w:val="000035E2"/>
    <w:rsid w:val="000042BD"/>
    <w:rsid w:val="000044A2"/>
    <w:rsid w:val="00004F04"/>
    <w:rsid w:val="000050CF"/>
    <w:rsid w:val="00005263"/>
    <w:rsid w:val="0000529B"/>
    <w:rsid w:val="0000539C"/>
    <w:rsid w:val="00005530"/>
    <w:rsid w:val="00005921"/>
    <w:rsid w:val="000059DF"/>
    <w:rsid w:val="00005DDB"/>
    <w:rsid w:val="0000615E"/>
    <w:rsid w:val="00006420"/>
    <w:rsid w:val="0000669E"/>
    <w:rsid w:val="00006B76"/>
    <w:rsid w:val="00006F49"/>
    <w:rsid w:val="000071BB"/>
    <w:rsid w:val="0000755D"/>
    <w:rsid w:val="00007CA3"/>
    <w:rsid w:val="000100D6"/>
    <w:rsid w:val="00010936"/>
    <w:rsid w:val="00010A9D"/>
    <w:rsid w:val="00010B06"/>
    <w:rsid w:val="000111E8"/>
    <w:rsid w:val="000115CD"/>
    <w:rsid w:val="000117F5"/>
    <w:rsid w:val="00011997"/>
    <w:rsid w:val="00011CDD"/>
    <w:rsid w:val="00011F91"/>
    <w:rsid w:val="000122FF"/>
    <w:rsid w:val="0001266A"/>
    <w:rsid w:val="000131C4"/>
    <w:rsid w:val="0001333D"/>
    <w:rsid w:val="00013378"/>
    <w:rsid w:val="00013513"/>
    <w:rsid w:val="000141A9"/>
    <w:rsid w:val="00014220"/>
    <w:rsid w:val="00014226"/>
    <w:rsid w:val="0001444E"/>
    <w:rsid w:val="00014850"/>
    <w:rsid w:val="00014914"/>
    <w:rsid w:val="00014922"/>
    <w:rsid w:val="00014DF8"/>
    <w:rsid w:val="0001503D"/>
    <w:rsid w:val="00015043"/>
    <w:rsid w:val="000152CA"/>
    <w:rsid w:val="00015406"/>
    <w:rsid w:val="000155AF"/>
    <w:rsid w:val="000156C3"/>
    <w:rsid w:val="00015B74"/>
    <w:rsid w:val="00015BB3"/>
    <w:rsid w:val="00015ED1"/>
    <w:rsid w:val="00015F0D"/>
    <w:rsid w:val="00016601"/>
    <w:rsid w:val="0001662D"/>
    <w:rsid w:val="00016667"/>
    <w:rsid w:val="0001682F"/>
    <w:rsid w:val="00016E4E"/>
    <w:rsid w:val="00017711"/>
    <w:rsid w:val="00017B6F"/>
    <w:rsid w:val="00017CAB"/>
    <w:rsid w:val="000201D5"/>
    <w:rsid w:val="000206BC"/>
    <w:rsid w:val="000212B5"/>
    <w:rsid w:val="000217D0"/>
    <w:rsid w:val="00021D72"/>
    <w:rsid w:val="00021E75"/>
    <w:rsid w:val="00022135"/>
    <w:rsid w:val="000221A6"/>
    <w:rsid w:val="00022201"/>
    <w:rsid w:val="000227C0"/>
    <w:rsid w:val="00022CAB"/>
    <w:rsid w:val="000232F2"/>
    <w:rsid w:val="000233DD"/>
    <w:rsid w:val="00023412"/>
    <w:rsid w:val="0002391B"/>
    <w:rsid w:val="000239AF"/>
    <w:rsid w:val="00023E12"/>
    <w:rsid w:val="000247A6"/>
    <w:rsid w:val="0002488C"/>
    <w:rsid w:val="00024907"/>
    <w:rsid w:val="00024B3D"/>
    <w:rsid w:val="0002525F"/>
    <w:rsid w:val="00025329"/>
    <w:rsid w:val="0002540E"/>
    <w:rsid w:val="00025660"/>
    <w:rsid w:val="00025BC9"/>
    <w:rsid w:val="00025BE1"/>
    <w:rsid w:val="000260C7"/>
    <w:rsid w:val="000264E9"/>
    <w:rsid w:val="000268C0"/>
    <w:rsid w:val="000268F9"/>
    <w:rsid w:val="000269C5"/>
    <w:rsid w:val="00026D45"/>
    <w:rsid w:val="00026F12"/>
    <w:rsid w:val="00026F73"/>
    <w:rsid w:val="000272F4"/>
    <w:rsid w:val="00027F6A"/>
    <w:rsid w:val="000302D5"/>
    <w:rsid w:val="000304E0"/>
    <w:rsid w:val="0003064F"/>
    <w:rsid w:val="000307A6"/>
    <w:rsid w:val="00030B3C"/>
    <w:rsid w:val="00030C12"/>
    <w:rsid w:val="00030EB1"/>
    <w:rsid w:val="00031133"/>
    <w:rsid w:val="0003116E"/>
    <w:rsid w:val="00031398"/>
    <w:rsid w:val="000313FF"/>
    <w:rsid w:val="00031554"/>
    <w:rsid w:val="00031ACA"/>
    <w:rsid w:val="00031B63"/>
    <w:rsid w:val="00031C6D"/>
    <w:rsid w:val="0003209F"/>
    <w:rsid w:val="000321BA"/>
    <w:rsid w:val="000321D9"/>
    <w:rsid w:val="00032485"/>
    <w:rsid w:val="00032DED"/>
    <w:rsid w:val="000336B5"/>
    <w:rsid w:val="0003378C"/>
    <w:rsid w:val="000338B8"/>
    <w:rsid w:val="00033BEB"/>
    <w:rsid w:val="00033C68"/>
    <w:rsid w:val="00033D03"/>
    <w:rsid w:val="00033E3F"/>
    <w:rsid w:val="000343FC"/>
    <w:rsid w:val="0003446D"/>
    <w:rsid w:val="0003469E"/>
    <w:rsid w:val="0003473A"/>
    <w:rsid w:val="00034C01"/>
    <w:rsid w:val="00034C19"/>
    <w:rsid w:val="00034FAB"/>
    <w:rsid w:val="00035020"/>
    <w:rsid w:val="00035031"/>
    <w:rsid w:val="00035035"/>
    <w:rsid w:val="00035BBD"/>
    <w:rsid w:val="00035E80"/>
    <w:rsid w:val="00036065"/>
    <w:rsid w:val="000361DF"/>
    <w:rsid w:val="0003636A"/>
    <w:rsid w:val="0003645E"/>
    <w:rsid w:val="00036460"/>
    <w:rsid w:val="0003647B"/>
    <w:rsid w:val="00036541"/>
    <w:rsid w:val="000365E4"/>
    <w:rsid w:val="00036720"/>
    <w:rsid w:val="000369F3"/>
    <w:rsid w:val="00036A8C"/>
    <w:rsid w:val="00036B31"/>
    <w:rsid w:val="00037148"/>
    <w:rsid w:val="000371CE"/>
    <w:rsid w:val="0003722B"/>
    <w:rsid w:val="0003729A"/>
    <w:rsid w:val="000372F9"/>
    <w:rsid w:val="00037680"/>
    <w:rsid w:val="000377D5"/>
    <w:rsid w:val="0003794B"/>
    <w:rsid w:val="00037AD9"/>
    <w:rsid w:val="00037C77"/>
    <w:rsid w:val="00037F1A"/>
    <w:rsid w:val="00040A0B"/>
    <w:rsid w:val="00040BFA"/>
    <w:rsid w:val="00040DD1"/>
    <w:rsid w:val="000410E1"/>
    <w:rsid w:val="00041543"/>
    <w:rsid w:val="00041552"/>
    <w:rsid w:val="00041CAF"/>
    <w:rsid w:val="00042756"/>
    <w:rsid w:val="00042799"/>
    <w:rsid w:val="000427E8"/>
    <w:rsid w:val="00042C6A"/>
    <w:rsid w:val="00042D71"/>
    <w:rsid w:val="00042DB6"/>
    <w:rsid w:val="00044008"/>
    <w:rsid w:val="00044044"/>
    <w:rsid w:val="0004468D"/>
    <w:rsid w:val="0004501A"/>
    <w:rsid w:val="0004509E"/>
    <w:rsid w:val="000450E9"/>
    <w:rsid w:val="00045129"/>
    <w:rsid w:val="00045193"/>
    <w:rsid w:val="00045220"/>
    <w:rsid w:val="00045530"/>
    <w:rsid w:val="000457D9"/>
    <w:rsid w:val="00045A85"/>
    <w:rsid w:val="00045B8F"/>
    <w:rsid w:val="00045DB0"/>
    <w:rsid w:val="00046815"/>
    <w:rsid w:val="0004699E"/>
    <w:rsid w:val="00046C5D"/>
    <w:rsid w:val="00046CB9"/>
    <w:rsid w:val="00046D1C"/>
    <w:rsid w:val="00047727"/>
    <w:rsid w:val="00047D0B"/>
    <w:rsid w:val="00050173"/>
    <w:rsid w:val="00050914"/>
    <w:rsid w:val="00050CB2"/>
    <w:rsid w:val="00050D20"/>
    <w:rsid w:val="000510B1"/>
    <w:rsid w:val="0005138F"/>
    <w:rsid w:val="000515BA"/>
    <w:rsid w:val="00051C0F"/>
    <w:rsid w:val="00051D4C"/>
    <w:rsid w:val="00052129"/>
    <w:rsid w:val="00052712"/>
    <w:rsid w:val="00052A89"/>
    <w:rsid w:val="00052AB5"/>
    <w:rsid w:val="00052CFF"/>
    <w:rsid w:val="00052E3D"/>
    <w:rsid w:val="000530FC"/>
    <w:rsid w:val="00053D78"/>
    <w:rsid w:val="00054012"/>
    <w:rsid w:val="00054042"/>
    <w:rsid w:val="00054439"/>
    <w:rsid w:val="00054722"/>
    <w:rsid w:val="000549EA"/>
    <w:rsid w:val="00054CF0"/>
    <w:rsid w:val="00054ECB"/>
    <w:rsid w:val="000556AA"/>
    <w:rsid w:val="00055A74"/>
    <w:rsid w:val="00055B61"/>
    <w:rsid w:val="00055BD7"/>
    <w:rsid w:val="00055D41"/>
    <w:rsid w:val="000564A8"/>
    <w:rsid w:val="0005694D"/>
    <w:rsid w:val="00056BB3"/>
    <w:rsid w:val="000571EC"/>
    <w:rsid w:val="00057344"/>
    <w:rsid w:val="0005755E"/>
    <w:rsid w:val="0005765B"/>
    <w:rsid w:val="00057B6E"/>
    <w:rsid w:val="000607A2"/>
    <w:rsid w:val="00060881"/>
    <w:rsid w:val="00060B30"/>
    <w:rsid w:val="00060E95"/>
    <w:rsid w:val="00060FB7"/>
    <w:rsid w:val="0006100C"/>
    <w:rsid w:val="00061091"/>
    <w:rsid w:val="000613B3"/>
    <w:rsid w:val="000615AD"/>
    <w:rsid w:val="00061C0B"/>
    <w:rsid w:val="00061EE0"/>
    <w:rsid w:val="00061FD0"/>
    <w:rsid w:val="0006227E"/>
    <w:rsid w:val="00062B64"/>
    <w:rsid w:val="00062B95"/>
    <w:rsid w:val="00063350"/>
    <w:rsid w:val="00063B3E"/>
    <w:rsid w:val="000641E2"/>
    <w:rsid w:val="000643B3"/>
    <w:rsid w:val="000648AB"/>
    <w:rsid w:val="00064AA1"/>
    <w:rsid w:val="00064D4E"/>
    <w:rsid w:val="00064DBF"/>
    <w:rsid w:val="00064DED"/>
    <w:rsid w:val="00064FC9"/>
    <w:rsid w:val="00064FED"/>
    <w:rsid w:val="000654DB"/>
    <w:rsid w:val="00065931"/>
    <w:rsid w:val="00065B0A"/>
    <w:rsid w:val="00065F23"/>
    <w:rsid w:val="00066206"/>
    <w:rsid w:val="00066698"/>
    <w:rsid w:val="00066A24"/>
    <w:rsid w:val="00066DBB"/>
    <w:rsid w:val="00066F86"/>
    <w:rsid w:val="0006712E"/>
    <w:rsid w:val="00067616"/>
    <w:rsid w:val="000676D9"/>
    <w:rsid w:val="0006778A"/>
    <w:rsid w:val="00067916"/>
    <w:rsid w:val="000679E6"/>
    <w:rsid w:val="000679F0"/>
    <w:rsid w:val="00067B24"/>
    <w:rsid w:val="00070290"/>
    <w:rsid w:val="0007035A"/>
    <w:rsid w:val="000705AA"/>
    <w:rsid w:val="000705C9"/>
    <w:rsid w:val="00070D2D"/>
    <w:rsid w:val="00070D56"/>
    <w:rsid w:val="00070F6C"/>
    <w:rsid w:val="000718E1"/>
    <w:rsid w:val="00071925"/>
    <w:rsid w:val="00071C33"/>
    <w:rsid w:val="00072018"/>
    <w:rsid w:val="00072366"/>
    <w:rsid w:val="00072444"/>
    <w:rsid w:val="00072490"/>
    <w:rsid w:val="00072713"/>
    <w:rsid w:val="000729C8"/>
    <w:rsid w:val="00073433"/>
    <w:rsid w:val="00073456"/>
    <w:rsid w:val="0007396E"/>
    <w:rsid w:val="000739F2"/>
    <w:rsid w:val="00073FE6"/>
    <w:rsid w:val="00074311"/>
    <w:rsid w:val="00074715"/>
    <w:rsid w:val="00074AB5"/>
    <w:rsid w:val="00074F18"/>
    <w:rsid w:val="0007500A"/>
    <w:rsid w:val="0007529C"/>
    <w:rsid w:val="000756DE"/>
    <w:rsid w:val="000759EB"/>
    <w:rsid w:val="000759EC"/>
    <w:rsid w:val="00075D8B"/>
    <w:rsid w:val="00075DB4"/>
    <w:rsid w:val="00075E7A"/>
    <w:rsid w:val="00075F6E"/>
    <w:rsid w:val="000762F2"/>
    <w:rsid w:val="00076301"/>
    <w:rsid w:val="0007648D"/>
    <w:rsid w:val="0007680A"/>
    <w:rsid w:val="000769B1"/>
    <w:rsid w:val="00076BFF"/>
    <w:rsid w:val="00076D28"/>
    <w:rsid w:val="00077139"/>
    <w:rsid w:val="000771D0"/>
    <w:rsid w:val="00080017"/>
    <w:rsid w:val="000806A0"/>
    <w:rsid w:val="000809A4"/>
    <w:rsid w:val="00080A5F"/>
    <w:rsid w:val="00080FCE"/>
    <w:rsid w:val="00080FD4"/>
    <w:rsid w:val="000813B1"/>
    <w:rsid w:val="00081438"/>
    <w:rsid w:val="00081845"/>
    <w:rsid w:val="00081B41"/>
    <w:rsid w:val="00081D95"/>
    <w:rsid w:val="00081F60"/>
    <w:rsid w:val="00081FDD"/>
    <w:rsid w:val="00082190"/>
    <w:rsid w:val="00083295"/>
    <w:rsid w:val="00083650"/>
    <w:rsid w:val="00083748"/>
    <w:rsid w:val="000838CF"/>
    <w:rsid w:val="00083ADB"/>
    <w:rsid w:val="00084772"/>
    <w:rsid w:val="00084A36"/>
    <w:rsid w:val="00084CE7"/>
    <w:rsid w:val="00084DEF"/>
    <w:rsid w:val="00085013"/>
    <w:rsid w:val="0008511C"/>
    <w:rsid w:val="000856E8"/>
    <w:rsid w:val="000859EE"/>
    <w:rsid w:val="00085A7D"/>
    <w:rsid w:val="00085DDF"/>
    <w:rsid w:val="000860EE"/>
    <w:rsid w:val="00086216"/>
    <w:rsid w:val="0008692F"/>
    <w:rsid w:val="00087044"/>
    <w:rsid w:val="0008718C"/>
    <w:rsid w:val="0008732D"/>
    <w:rsid w:val="000875C4"/>
    <w:rsid w:val="00087CA0"/>
    <w:rsid w:val="00087D14"/>
    <w:rsid w:val="0009032F"/>
    <w:rsid w:val="0009075B"/>
    <w:rsid w:val="000908D4"/>
    <w:rsid w:val="00090A53"/>
    <w:rsid w:val="0009117E"/>
    <w:rsid w:val="00091487"/>
    <w:rsid w:val="00091675"/>
    <w:rsid w:val="00091CF0"/>
    <w:rsid w:val="00091D38"/>
    <w:rsid w:val="0009211A"/>
    <w:rsid w:val="000922D6"/>
    <w:rsid w:val="0009293A"/>
    <w:rsid w:val="00092E40"/>
    <w:rsid w:val="000935EA"/>
    <w:rsid w:val="000936D9"/>
    <w:rsid w:val="000936FC"/>
    <w:rsid w:val="00093A2B"/>
    <w:rsid w:val="0009402C"/>
    <w:rsid w:val="00094C6B"/>
    <w:rsid w:val="00094CA5"/>
    <w:rsid w:val="00094CBD"/>
    <w:rsid w:val="00094FA3"/>
    <w:rsid w:val="000953A2"/>
    <w:rsid w:val="00095539"/>
    <w:rsid w:val="00095674"/>
    <w:rsid w:val="000958B3"/>
    <w:rsid w:val="00095CCC"/>
    <w:rsid w:val="00096048"/>
    <w:rsid w:val="000963FA"/>
    <w:rsid w:val="000964E0"/>
    <w:rsid w:val="000965E0"/>
    <w:rsid w:val="0009668B"/>
    <w:rsid w:val="00096755"/>
    <w:rsid w:val="00096834"/>
    <w:rsid w:val="0009693D"/>
    <w:rsid w:val="00096F7B"/>
    <w:rsid w:val="0009708B"/>
    <w:rsid w:val="00097240"/>
    <w:rsid w:val="000975B6"/>
    <w:rsid w:val="00097A41"/>
    <w:rsid w:val="00097B2D"/>
    <w:rsid w:val="000A0057"/>
    <w:rsid w:val="000A095D"/>
    <w:rsid w:val="000A0BB2"/>
    <w:rsid w:val="000A0C8A"/>
    <w:rsid w:val="000A101C"/>
    <w:rsid w:val="000A1257"/>
    <w:rsid w:val="000A1289"/>
    <w:rsid w:val="000A1356"/>
    <w:rsid w:val="000A1ABF"/>
    <w:rsid w:val="000A1B59"/>
    <w:rsid w:val="000A1F66"/>
    <w:rsid w:val="000A2143"/>
    <w:rsid w:val="000A22D0"/>
    <w:rsid w:val="000A236F"/>
    <w:rsid w:val="000A2946"/>
    <w:rsid w:val="000A3164"/>
    <w:rsid w:val="000A31C9"/>
    <w:rsid w:val="000A3228"/>
    <w:rsid w:val="000A347A"/>
    <w:rsid w:val="000A34D1"/>
    <w:rsid w:val="000A3834"/>
    <w:rsid w:val="000A3A0F"/>
    <w:rsid w:val="000A414C"/>
    <w:rsid w:val="000A47BB"/>
    <w:rsid w:val="000A4962"/>
    <w:rsid w:val="000A510F"/>
    <w:rsid w:val="000A5549"/>
    <w:rsid w:val="000A57C9"/>
    <w:rsid w:val="000A5911"/>
    <w:rsid w:val="000A59CC"/>
    <w:rsid w:val="000A59F8"/>
    <w:rsid w:val="000A5FEE"/>
    <w:rsid w:val="000A6571"/>
    <w:rsid w:val="000A678C"/>
    <w:rsid w:val="000A6D06"/>
    <w:rsid w:val="000A6D55"/>
    <w:rsid w:val="000A6E62"/>
    <w:rsid w:val="000A715E"/>
    <w:rsid w:val="000A722D"/>
    <w:rsid w:val="000A7525"/>
    <w:rsid w:val="000A7B2D"/>
    <w:rsid w:val="000B0296"/>
    <w:rsid w:val="000B02C6"/>
    <w:rsid w:val="000B04F9"/>
    <w:rsid w:val="000B0E2D"/>
    <w:rsid w:val="000B0FFA"/>
    <w:rsid w:val="000B147E"/>
    <w:rsid w:val="000B1510"/>
    <w:rsid w:val="000B190A"/>
    <w:rsid w:val="000B197F"/>
    <w:rsid w:val="000B1A70"/>
    <w:rsid w:val="000B1E88"/>
    <w:rsid w:val="000B1F59"/>
    <w:rsid w:val="000B2159"/>
    <w:rsid w:val="000B219D"/>
    <w:rsid w:val="000B27D3"/>
    <w:rsid w:val="000B2933"/>
    <w:rsid w:val="000B2AE0"/>
    <w:rsid w:val="000B2B05"/>
    <w:rsid w:val="000B2C77"/>
    <w:rsid w:val="000B2FDB"/>
    <w:rsid w:val="000B3214"/>
    <w:rsid w:val="000B33F2"/>
    <w:rsid w:val="000B39F5"/>
    <w:rsid w:val="000B4352"/>
    <w:rsid w:val="000B48DE"/>
    <w:rsid w:val="000B4ABC"/>
    <w:rsid w:val="000B5018"/>
    <w:rsid w:val="000B55B4"/>
    <w:rsid w:val="000B5BE0"/>
    <w:rsid w:val="000B5C0E"/>
    <w:rsid w:val="000B5D66"/>
    <w:rsid w:val="000B5F92"/>
    <w:rsid w:val="000B63B4"/>
    <w:rsid w:val="000B644B"/>
    <w:rsid w:val="000B653F"/>
    <w:rsid w:val="000B6A9B"/>
    <w:rsid w:val="000B6AEB"/>
    <w:rsid w:val="000B6BAA"/>
    <w:rsid w:val="000B6C4E"/>
    <w:rsid w:val="000B7005"/>
    <w:rsid w:val="000B70BC"/>
    <w:rsid w:val="000B714B"/>
    <w:rsid w:val="000B7505"/>
    <w:rsid w:val="000B7591"/>
    <w:rsid w:val="000B7908"/>
    <w:rsid w:val="000B7F92"/>
    <w:rsid w:val="000C0D8B"/>
    <w:rsid w:val="000C17F9"/>
    <w:rsid w:val="000C18D4"/>
    <w:rsid w:val="000C18FF"/>
    <w:rsid w:val="000C2120"/>
    <w:rsid w:val="000C229E"/>
    <w:rsid w:val="000C2478"/>
    <w:rsid w:val="000C2DB4"/>
    <w:rsid w:val="000C2DCE"/>
    <w:rsid w:val="000C312D"/>
    <w:rsid w:val="000C337B"/>
    <w:rsid w:val="000C3464"/>
    <w:rsid w:val="000C37BE"/>
    <w:rsid w:val="000C3896"/>
    <w:rsid w:val="000C3BC6"/>
    <w:rsid w:val="000C3E47"/>
    <w:rsid w:val="000C4005"/>
    <w:rsid w:val="000C4123"/>
    <w:rsid w:val="000C4416"/>
    <w:rsid w:val="000C44AE"/>
    <w:rsid w:val="000C474C"/>
    <w:rsid w:val="000C5010"/>
    <w:rsid w:val="000C5814"/>
    <w:rsid w:val="000C5856"/>
    <w:rsid w:val="000C5E3C"/>
    <w:rsid w:val="000C5EAA"/>
    <w:rsid w:val="000C64A5"/>
    <w:rsid w:val="000C6580"/>
    <w:rsid w:val="000C6DD1"/>
    <w:rsid w:val="000C7018"/>
    <w:rsid w:val="000C794F"/>
    <w:rsid w:val="000C7A2F"/>
    <w:rsid w:val="000C7C24"/>
    <w:rsid w:val="000C7CC2"/>
    <w:rsid w:val="000D026C"/>
    <w:rsid w:val="000D02AB"/>
    <w:rsid w:val="000D0609"/>
    <w:rsid w:val="000D0637"/>
    <w:rsid w:val="000D0C8E"/>
    <w:rsid w:val="000D1330"/>
    <w:rsid w:val="000D13BA"/>
    <w:rsid w:val="000D2173"/>
    <w:rsid w:val="000D28DE"/>
    <w:rsid w:val="000D2D8C"/>
    <w:rsid w:val="000D31A1"/>
    <w:rsid w:val="000D32B0"/>
    <w:rsid w:val="000D38A2"/>
    <w:rsid w:val="000D3A57"/>
    <w:rsid w:val="000D3BA4"/>
    <w:rsid w:val="000D3CBE"/>
    <w:rsid w:val="000D3DEA"/>
    <w:rsid w:val="000D4334"/>
    <w:rsid w:val="000D470B"/>
    <w:rsid w:val="000D483C"/>
    <w:rsid w:val="000D4A85"/>
    <w:rsid w:val="000D4B54"/>
    <w:rsid w:val="000D4C57"/>
    <w:rsid w:val="000D4D9E"/>
    <w:rsid w:val="000D4FDB"/>
    <w:rsid w:val="000D53A8"/>
    <w:rsid w:val="000D5464"/>
    <w:rsid w:val="000D5DC6"/>
    <w:rsid w:val="000D60B5"/>
    <w:rsid w:val="000D62C2"/>
    <w:rsid w:val="000D6F71"/>
    <w:rsid w:val="000D756E"/>
    <w:rsid w:val="000D768B"/>
    <w:rsid w:val="000D7A31"/>
    <w:rsid w:val="000D7BE1"/>
    <w:rsid w:val="000E0411"/>
    <w:rsid w:val="000E0802"/>
    <w:rsid w:val="000E0C9C"/>
    <w:rsid w:val="000E0F81"/>
    <w:rsid w:val="000E12D8"/>
    <w:rsid w:val="000E12EC"/>
    <w:rsid w:val="000E138A"/>
    <w:rsid w:val="000E16EF"/>
    <w:rsid w:val="000E179A"/>
    <w:rsid w:val="000E179F"/>
    <w:rsid w:val="000E1916"/>
    <w:rsid w:val="000E19BF"/>
    <w:rsid w:val="000E1E61"/>
    <w:rsid w:val="000E1F30"/>
    <w:rsid w:val="000E21B7"/>
    <w:rsid w:val="000E25B3"/>
    <w:rsid w:val="000E2B1D"/>
    <w:rsid w:val="000E2F78"/>
    <w:rsid w:val="000E36AF"/>
    <w:rsid w:val="000E3DCE"/>
    <w:rsid w:val="000E4121"/>
    <w:rsid w:val="000E4B61"/>
    <w:rsid w:val="000E4F54"/>
    <w:rsid w:val="000E5468"/>
    <w:rsid w:val="000E5507"/>
    <w:rsid w:val="000E5965"/>
    <w:rsid w:val="000E5B73"/>
    <w:rsid w:val="000E625B"/>
    <w:rsid w:val="000E64D7"/>
    <w:rsid w:val="000E6BEF"/>
    <w:rsid w:val="000E6E14"/>
    <w:rsid w:val="000E7246"/>
    <w:rsid w:val="000E75E9"/>
    <w:rsid w:val="000E7B11"/>
    <w:rsid w:val="000E7E53"/>
    <w:rsid w:val="000F0105"/>
    <w:rsid w:val="000F0168"/>
    <w:rsid w:val="000F0870"/>
    <w:rsid w:val="000F0C80"/>
    <w:rsid w:val="000F13D6"/>
    <w:rsid w:val="000F15AA"/>
    <w:rsid w:val="000F17B1"/>
    <w:rsid w:val="000F1A84"/>
    <w:rsid w:val="000F1BCF"/>
    <w:rsid w:val="000F20FB"/>
    <w:rsid w:val="000F21EB"/>
    <w:rsid w:val="000F3096"/>
    <w:rsid w:val="000F361C"/>
    <w:rsid w:val="000F363B"/>
    <w:rsid w:val="000F365E"/>
    <w:rsid w:val="000F3998"/>
    <w:rsid w:val="000F3B41"/>
    <w:rsid w:val="000F40D8"/>
    <w:rsid w:val="000F411A"/>
    <w:rsid w:val="000F4B47"/>
    <w:rsid w:val="000F4C72"/>
    <w:rsid w:val="000F4EEF"/>
    <w:rsid w:val="000F4FBF"/>
    <w:rsid w:val="000F5C76"/>
    <w:rsid w:val="000F5D8B"/>
    <w:rsid w:val="000F6433"/>
    <w:rsid w:val="000F68A6"/>
    <w:rsid w:val="000F6A90"/>
    <w:rsid w:val="000F6C05"/>
    <w:rsid w:val="000F6C4F"/>
    <w:rsid w:val="000F6E95"/>
    <w:rsid w:val="000F71C5"/>
    <w:rsid w:val="000F74CE"/>
    <w:rsid w:val="000F7575"/>
    <w:rsid w:val="0010008A"/>
    <w:rsid w:val="001003E6"/>
    <w:rsid w:val="00100710"/>
    <w:rsid w:val="001007A4"/>
    <w:rsid w:val="001009D1"/>
    <w:rsid w:val="001009E0"/>
    <w:rsid w:val="00100A63"/>
    <w:rsid w:val="00100C20"/>
    <w:rsid w:val="00100D4F"/>
    <w:rsid w:val="001011A1"/>
    <w:rsid w:val="00101432"/>
    <w:rsid w:val="00101BF4"/>
    <w:rsid w:val="00102072"/>
    <w:rsid w:val="00102B63"/>
    <w:rsid w:val="00102C75"/>
    <w:rsid w:val="00102D0B"/>
    <w:rsid w:val="00102DA9"/>
    <w:rsid w:val="00102EE1"/>
    <w:rsid w:val="0010314A"/>
    <w:rsid w:val="0010332A"/>
    <w:rsid w:val="00103A06"/>
    <w:rsid w:val="00103A34"/>
    <w:rsid w:val="00103A96"/>
    <w:rsid w:val="00103C62"/>
    <w:rsid w:val="00103E92"/>
    <w:rsid w:val="00103FDF"/>
    <w:rsid w:val="00103FF4"/>
    <w:rsid w:val="00104476"/>
    <w:rsid w:val="00104545"/>
    <w:rsid w:val="0010478B"/>
    <w:rsid w:val="00104BA7"/>
    <w:rsid w:val="00104FC9"/>
    <w:rsid w:val="001050CE"/>
    <w:rsid w:val="00105134"/>
    <w:rsid w:val="00105440"/>
    <w:rsid w:val="00105BAC"/>
    <w:rsid w:val="00105C68"/>
    <w:rsid w:val="00106B98"/>
    <w:rsid w:val="00107094"/>
    <w:rsid w:val="00107866"/>
    <w:rsid w:val="00107B88"/>
    <w:rsid w:val="00107BBB"/>
    <w:rsid w:val="00107DE6"/>
    <w:rsid w:val="00107F55"/>
    <w:rsid w:val="00110006"/>
    <w:rsid w:val="0011041A"/>
    <w:rsid w:val="001106C5"/>
    <w:rsid w:val="0011076B"/>
    <w:rsid w:val="00110A94"/>
    <w:rsid w:val="00110B68"/>
    <w:rsid w:val="00110C8E"/>
    <w:rsid w:val="001112CF"/>
    <w:rsid w:val="00111692"/>
    <w:rsid w:val="001117B4"/>
    <w:rsid w:val="001117F8"/>
    <w:rsid w:val="00111D05"/>
    <w:rsid w:val="00111FFD"/>
    <w:rsid w:val="001124E4"/>
    <w:rsid w:val="00112C66"/>
    <w:rsid w:val="00112D03"/>
    <w:rsid w:val="00112DE3"/>
    <w:rsid w:val="001130C4"/>
    <w:rsid w:val="001133EA"/>
    <w:rsid w:val="00113875"/>
    <w:rsid w:val="00113A53"/>
    <w:rsid w:val="00113B71"/>
    <w:rsid w:val="00113D46"/>
    <w:rsid w:val="00113FB6"/>
    <w:rsid w:val="001142F4"/>
    <w:rsid w:val="00114BA4"/>
    <w:rsid w:val="00114BF2"/>
    <w:rsid w:val="001151EB"/>
    <w:rsid w:val="00115375"/>
    <w:rsid w:val="00115390"/>
    <w:rsid w:val="00115D62"/>
    <w:rsid w:val="00115DAB"/>
    <w:rsid w:val="001162E3"/>
    <w:rsid w:val="00116362"/>
    <w:rsid w:val="001163F1"/>
    <w:rsid w:val="001164B6"/>
    <w:rsid w:val="00117300"/>
    <w:rsid w:val="001175CD"/>
    <w:rsid w:val="001176C4"/>
    <w:rsid w:val="00117ADB"/>
    <w:rsid w:val="00117F98"/>
    <w:rsid w:val="0012074D"/>
    <w:rsid w:val="00120ADD"/>
    <w:rsid w:val="00120C09"/>
    <w:rsid w:val="00120C71"/>
    <w:rsid w:val="00120DF6"/>
    <w:rsid w:val="00120F51"/>
    <w:rsid w:val="00121729"/>
    <w:rsid w:val="001217A0"/>
    <w:rsid w:val="00122113"/>
    <w:rsid w:val="00122300"/>
    <w:rsid w:val="00122438"/>
    <w:rsid w:val="0012248A"/>
    <w:rsid w:val="001226E8"/>
    <w:rsid w:val="0012276E"/>
    <w:rsid w:val="001227B8"/>
    <w:rsid w:val="00122B92"/>
    <w:rsid w:val="00122DE0"/>
    <w:rsid w:val="001234B3"/>
    <w:rsid w:val="0012439A"/>
    <w:rsid w:val="00124912"/>
    <w:rsid w:val="00124C07"/>
    <w:rsid w:val="0012558F"/>
    <w:rsid w:val="001256EA"/>
    <w:rsid w:val="00125D6D"/>
    <w:rsid w:val="00125DA0"/>
    <w:rsid w:val="00125DC0"/>
    <w:rsid w:val="00125ED9"/>
    <w:rsid w:val="00125F8A"/>
    <w:rsid w:val="00126328"/>
    <w:rsid w:val="001263F9"/>
    <w:rsid w:val="00126DF1"/>
    <w:rsid w:val="0012714D"/>
    <w:rsid w:val="00127C74"/>
    <w:rsid w:val="00127E80"/>
    <w:rsid w:val="00127EE2"/>
    <w:rsid w:val="00127F69"/>
    <w:rsid w:val="00130050"/>
    <w:rsid w:val="0013029A"/>
    <w:rsid w:val="0013034C"/>
    <w:rsid w:val="00130F0B"/>
    <w:rsid w:val="00131154"/>
    <w:rsid w:val="001312BC"/>
    <w:rsid w:val="0013131B"/>
    <w:rsid w:val="00131ED7"/>
    <w:rsid w:val="00131F71"/>
    <w:rsid w:val="0013229D"/>
    <w:rsid w:val="00132908"/>
    <w:rsid w:val="001329B2"/>
    <w:rsid w:val="00132B7B"/>
    <w:rsid w:val="00133E13"/>
    <w:rsid w:val="00134053"/>
    <w:rsid w:val="00134141"/>
    <w:rsid w:val="00134146"/>
    <w:rsid w:val="001346D9"/>
    <w:rsid w:val="001347E3"/>
    <w:rsid w:val="001348C9"/>
    <w:rsid w:val="00134CC1"/>
    <w:rsid w:val="00135041"/>
    <w:rsid w:val="001352CC"/>
    <w:rsid w:val="00135A0A"/>
    <w:rsid w:val="00135C66"/>
    <w:rsid w:val="0013606A"/>
    <w:rsid w:val="00136C46"/>
    <w:rsid w:val="00137CF0"/>
    <w:rsid w:val="00137EFD"/>
    <w:rsid w:val="00137F33"/>
    <w:rsid w:val="001403C4"/>
    <w:rsid w:val="00140642"/>
    <w:rsid w:val="00140CF5"/>
    <w:rsid w:val="00140D90"/>
    <w:rsid w:val="00140E67"/>
    <w:rsid w:val="00140F9C"/>
    <w:rsid w:val="001410DC"/>
    <w:rsid w:val="001413CD"/>
    <w:rsid w:val="001418E5"/>
    <w:rsid w:val="00141AEF"/>
    <w:rsid w:val="00141B29"/>
    <w:rsid w:val="001424EB"/>
    <w:rsid w:val="0014293B"/>
    <w:rsid w:val="00143097"/>
    <w:rsid w:val="00143249"/>
    <w:rsid w:val="001432F5"/>
    <w:rsid w:val="00143354"/>
    <w:rsid w:val="00143518"/>
    <w:rsid w:val="001438C5"/>
    <w:rsid w:val="00143B84"/>
    <w:rsid w:val="00144595"/>
    <w:rsid w:val="001445D8"/>
    <w:rsid w:val="001446AA"/>
    <w:rsid w:val="00144D79"/>
    <w:rsid w:val="00144E7F"/>
    <w:rsid w:val="00144E96"/>
    <w:rsid w:val="00145A27"/>
    <w:rsid w:val="00146716"/>
    <w:rsid w:val="00146B07"/>
    <w:rsid w:val="00146B60"/>
    <w:rsid w:val="00146BE7"/>
    <w:rsid w:val="00146DF1"/>
    <w:rsid w:val="001471C0"/>
    <w:rsid w:val="00147441"/>
    <w:rsid w:val="001500D0"/>
    <w:rsid w:val="00150236"/>
    <w:rsid w:val="001504BF"/>
    <w:rsid w:val="00150931"/>
    <w:rsid w:val="00150947"/>
    <w:rsid w:val="00150BCD"/>
    <w:rsid w:val="00150DD4"/>
    <w:rsid w:val="00151012"/>
    <w:rsid w:val="00151134"/>
    <w:rsid w:val="00151AB8"/>
    <w:rsid w:val="00151E41"/>
    <w:rsid w:val="001522E8"/>
    <w:rsid w:val="00152610"/>
    <w:rsid w:val="00152AAA"/>
    <w:rsid w:val="00152D4F"/>
    <w:rsid w:val="00152D8B"/>
    <w:rsid w:val="00153188"/>
    <w:rsid w:val="001533BC"/>
    <w:rsid w:val="00153412"/>
    <w:rsid w:val="001535DA"/>
    <w:rsid w:val="0015410A"/>
    <w:rsid w:val="00154170"/>
    <w:rsid w:val="00154567"/>
    <w:rsid w:val="001546B9"/>
    <w:rsid w:val="00154771"/>
    <w:rsid w:val="00154905"/>
    <w:rsid w:val="00154F00"/>
    <w:rsid w:val="001550C6"/>
    <w:rsid w:val="001551A3"/>
    <w:rsid w:val="00155218"/>
    <w:rsid w:val="00155262"/>
    <w:rsid w:val="001552C0"/>
    <w:rsid w:val="00155741"/>
    <w:rsid w:val="001558AB"/>
    <w:rsid w:val="001559B4"/>
    <w:rsid w:val="00155C51"/>
    <w:rsid w:val="00155F0A"/>
    <w:rsid w:val="00156278"/>
    <w:rsid w:val="0015659C"/>
    <w:rsid w:val="001567FA"/>
    <w:rsid w:val="00156E1D"/>
    <w:rsid w:val="00156F58"/>
    <w:rsid w:val="00157877"/>
    <w:rsid w:val="00157C78"/>
    <w:rsid w:val="00157E9E"/>
    <w:rsid w:val="00160E5A"/>
    <w:rsid w:val="00161139"/>
    <w:rsid w:val="00161152"/>
    <w:rsid w:val="00161358"/>
    <w:rsid w:val="0016142C"/>
    <w:rsid w:val="00161633"/>
    <w:rsid w:val="00161661"/>
    <w:rsid w:val="00161D09"/>
    <w:rsid w:val="00161FE0"/>
    <w:rsid w:val="00162942"/>
    <w:rsid w:val="001629B5"/>
    <w:rsid w:val="00162CE0"/>
    <w:rsid w:val="00163591"/>
    <w:rsid w:val="0016376C"/>
    <w:rsid w:val="00164222"/>
    <w:rsid w:val="001645CC"/>
    <w:rsid w:val="00164812"/>
    <w:rsid w:val="00164FE2"/>
    <w:rsid w:val="001651AF"/>
    <w:rsid w:val="001653AE"/>
    <w:rsid w:val="00165480"/>
    <w:rsid w:val="00165702"/>
    <w:rsid w:val="00165781"/>
    <w:rsid w:val="00165D0D"/>
    <w:rsid w:val="00165D75"/>
    <w:rsid w:val="00165F50"/>
    <w:rsid w:val="00165F60"/>
    <w:rsid w:val="0016600C"/>
    <w:rsid w:val="00166021"/>
    <w:rsid w:val="0016637B"/>
    <w:rsid w:val="001666BE"/>
    <w:rsid w:val="00166E4E"/>
    <w:rsid w:val="001674C3"/>
    <w:rsid w:val="00167685"/>
    <w:rsid w:val="00167A9E"/>
    <w:rsid w:val="00167D4C"/>
    <w:rsid w:val="00167DE5"/>
    <w:rsid w:val="00167E14"/>
    <w:rsid w:val="00167EB6"/>
    <w:rsid w:val="00170574"/>
    <w:rsid w:val="00170613"/>
    <w:rsid w:val="00170BDE"/>
    <w:rsid w:val="00170D48"/>
    <w:rsid w:val="00170D9E"/>
    <w:rsid w:val="0017175B"/>
    <w:rsid w:val="001719D5"/>
    <w:rsid w:val="00171C4E"/>
    <w:rsid w:val="00171CE1"/>
    <w:rsid w:val="00171CE8"/>
    <w:rsid w:val="00171E85"/>
    <w:rsid w:val="00171EA5"/>
    <w:rsid w:val="0017257E"/>
    <w:rsid w:val="001725D6"/>
    <w:rsid w:val="00172F17"/>
    <w:rsid w:val="0017309C"/>
    <w:rsid w:val="001730BF"/>
    <w:rsid w:val="00173264"/>
    <w:rsid w:val="00173371"/>
    <w:rsid w:val="00173412"/>
    <w:rsid w:val="001740C4"/>
    <w:rsid w:val="00174DA1"/>
    <w:rsid w:val="001752EE"/>
    <w:rsid w:val="0017571E"/>
    <w:rsid w:val="00175C8E"/>
    <w:rsid w:val="00176123"/>
    <w:rsid w:val="00176188"/>
    <w:rsid w:val="00176510"/>
    <w:rsid w:val="0017684F"/>
    <w:rsid w:val="00176D42"/>
    <w:rsid w:val="00176DDA"/>
    <w:rsid w:val="00176FAD"/>
    <w:rsid w:val="00177141"/>
    <w:rsid w:val="001771C5"/>
    <w:rsid w:val="00177303"/>
    <w:rsid w:val="001773AB"/>
    <w:rsid w:val="00177CC0"/>
    <w:rsid w:val="00180032"/>
    <w:rsid w:val="0018058A"/>
    <w:rsid w:val="0018072C"/>
    <w:rsid w:val="00180A7A"/>
    <w:rsid w:val="00180D84"/>
    <w:rsid w:val="00180F4E"/>
    <w:rsid w:val="00181500"/>
    <w:rsid w:val="0018195B"/>
    <w:rsid w:val="00181BFE"/>
    <w:rsid w:val="00181F10"/>
    <w:rsid w:val="0018203C"/>
    <w:rsid w:val="001821F1"/>
    <w:rsid w:val="001824DB"/>
    <w:rsid w:val="001826CF"/>
    <w:rsid w:val="0018271F"/>
    <w:rsid w:val="00182CE6"/>
    <w:rsid w:val="00182EAF"/>
    <w:rsid w:val="001830E5"/>
    <w:rsid w:val="0018324E"/>
    <w:rsid w:val="00183380"/>
    <w:rsid w:val="00183788"/>
    <w:rsid w:val="00183A2C"/>
    <w:rsid w:val="00183A72"/>
    <w:rsid w:val="00183D3F"/>
    <w:rsid w:val="00184240"/>
    <w:rsid w:val="0018432D"/>
    <w:rsid w:val="00184570"/>
    <w:rsid w:val="00184609"/>
    <w:rsid w:val="00184623"/>
    <w:rsid w:val="001846BF"/>
    <w:rsid w:val="00184767"/>
    <w:rsid w:val="00184847"/>
    <w:rsid w:val="00184A08"/>
    <w:rsid w:val="00184A7A"/>
    <w:rsid w:val="00184C27"/>
    <w:rsid w:val="00184EF6"/>
    <w:rsid w:val="00184F99"/>
    <w:rsid w:val="00185198"/>
    <w:rsid w:val="001851E6"/>
    <w:rsid w:val="0018526E"/>
    <w:rsid w:val="0018545D"/>
    <w:rsid w:val="00185D3E"/>
    <w:rsid w:val="00185ED7"/>
    <w:rsid w:val="001861A2"/>
    <w:rsid w:val="00186254"/>
    <w:rsid w:val="00186325"/>
    <w:rsid w:val="00186577"/>
    <w:rsid w:val="0018665B"/>
    <w:rsid w:val="001869A9"/>
    <w:rsid w:val="00186A28"/>
    <w:rsid w:val="00186BAC"/>
    <w:rsid w:val="001870F8"/>
    <w:rsid w:val="0018751D"/>
    <w:rsid w:val="00187815"/>
    <w:rsid w:val="001901F1"/>
    <w:rsid w:val="00190670"/>
    <w:rsid w:val="00191623"/>
    <w:rsid w:val="001917C6"/>
    <w:rsid w:val="001919EF"/>
    <w:rsid w:val="00191A43"/>
    <w:rsid w:val="00191AF0"/>
    <w:rsid w:val="00191EB3"/>
    <w:rsid w:val="00191FAB"/>
    <w:rsid w:val="001920AD"/>
    <w:rsid w:val="00192328"/>
    <w:rsid w:val="00192BBC"/>
    <w:rsid w:val="00193334"/>
    <w:rsid w:val="0019345D"/>
    <w:rsid w:val="001937DF"/>
    <w:rsid w:val="00193F8F"/>
    <w:rsid w:val="0019406C"/>
    <w:rsid w:val="0019411C"/>
    <w:rsid w:val="00194196"/>
    <w:rsid w:val="001943C3"/>
    <w:rsid w:val="0019468A"/>
    <w:rsid w:val="00194ADB"/>
    <w:rsid w:val="00194F65"/>
    <w:rsid w:val="00194FED"/>
    <w:rsid w:val="001955D3"/>
    <w:rsid w:val="001958ED"/>
    <w:rsid w:val="00195978"/>
    <w:rsid w:val="00195AB6"/>
    <w:rsid w:val="00195BF1"/>
    <w:rsid w:val="00196ABE"/>
    <w:rsid w:val="00196D19"/>
    <w:rsid w:val="00196E47"/>
    <w:rsid w:val="00197007"/>
    <w:rsid w:val="0019729C"/>
    <w:rsid w:val="001978AC"/>
    <w:rsid w:val="00197E4D"/>
    <w:rsid w:val="001A0284"/>
    <w:rsid w:val="001A0479"/>
    <w:rsid w:val="001A0CC4"/>
    <w:rsid w:val="001A0D99"/>
    <w:rsid w:val="001A0EAD"/>
    <w:rsid w:val="001A11C1"/>
    <w:rsid w:val="001A130E"/>
    <w:rsid w:val="001A1CD7"/>
    <w:rsid w:val="001A1CEA"/>
    <w:rsid w:val="001A1D17"/>
    <w:rsid w:val="001A1FE5"/>
    <w:rsid w:val="001A258A"/>
    <w:rsid w:val="001A2A49"/>
    <w:rsid w:val="001A2C54"/>
    <w:rsid w:val="001A2C98"/>
    <w:rsid w:val="001A2DAC"/>
    <w:rsid w:val="001A2E5A"/>
    <w:rsid w:val="001A2EBC"/>
    <w:rsid w:val="001A3009"/>
    <w:rsid w:val="001A3286"/>
    <w:rsid w:val="001A34B4"/>
    <w:rsid w:val="001A3963"/>
    <w:rsid w:val="001A3A46"/>
    <w:rsid w:val="001A3B97"/>
    <w:rsid w:val="001A3EA2"/>
    <w:rsid w:val="001A4331"/>
    <w:rsid w:val="001A45F8"/>
    <w:rsid w:val="001A47E8"/>
    <w:rsid w:val="001A4A13"/>
    <w:rsid w:val="001A4B38"/>
    <w:rsid w:val="001A4BAD"/>
    <w:rsid w:val="001A4C3C"/>
    <w:rsid w:val="001A5123"/>
    <w:rsid w:val="001A52BF"/>
    <w:rsid w:val="001A56E4"/>
    <w:rsid w:val="001A5744"/>
    <w:rsid w:val="001A59CA"/>
    <w:rsid w:val="001A5A09"/>
    <w:rsid w:val="001A5DA7"/>
    <w:rsid w:val="001A61D9"/>
    <w:rsid w:val="001A63A4"/>
    <w:rsid w:val="001A63E6"/>
    <w:rsid w:val="001A642B"/>
    <w:rsid w:val="001A68C9"/>
    <w:rsid w:val="001A6B5A"/>
    <w:rsid w:val="001A6CD1"/>
    <w:rsid w:val="001A6E8D"/>
    <w:rsid w:val="001A6FBE"/>
    <w:rsid w:val="001A70BD"/>
    <w:rsid w:val="001A7287"/>
    <w:rsid w:val="001A7463"/>
    <w:rsid w:val="001A75A4"/>
    <w:rsid w:val="001A76BB"/>
    <w:rsid w:val="001A7708"/>
    <w:rsid w:val="001A7A1A"/>
    <w:rsid w:val="001A7D5C"/>
    <w:rsid w:val="001A7F73"/>
    <w:rsid w:val="001B021B"/>
    <w:rsid w:val="001B062D"/>
    <w:rsid w:val="001B077B"/>
    <w:rsid w:val="001B0827"/>
    <w:rsid w:val="001B097E"/>
    <w:rsid w:val="001B09EA"/>
    <w:rsid w:val="001B0AFE"/>
    <w:rsid w:val="001B0C04"/>
    <w:rsid w:val="001B0C0B"/>
    <w:rsid w:val="001B0C19"/>
    <w:rsid w:val="001B0DC1"/>
    <w:rsid w:val="001B0FC9"/>
    <w:rsid w:val="001B14EA"/>
    <w:rsid w:val="001B1BDD"/>
    <w:rsid w:val="001B2067"/>
    <w:rsid w:val="001B21C1"/>
    <w:rsid w:val="001B2904"/>
    <w:rsid w:val="001B29CA"/>
    <w:rsid w:val="001B2C9C"/>
    <w:rsid w:val="001B3071"/>
    <w:rsid w:val="001B3369"/>
    <w:rsid w:val="001B3EE1"/>
    <w:rsid w:val="001B45A6"/>
    <w:rsid w:val="001B4687"/>
    <w:rsid w:val="001B46F7"/>
    <w:rsid w:val="001B49BF"/>
    <w:rsid w:val="001B4CA7"/>
    <w:rsid w:val="001B4E95"/>
    <w:rsid w:val="001B5744"/>
    <w:rsid w:val="001B5860"/>
    <w:rsid w:val="001B5B72"/>
    <w:rsid w:val="001B63CC"/>
    <w:rsid w:val="001B6403"/>
    <w:rsid w:val="001B64B9"/>
    <w:rsid w:val="001B65A3"/>
    <w:rsid w:val="001B6801"/>
    <w:rsid w:val="001B6ADE"/>
    <w:rsid w:val="001B7361"/>
    <w:rsid w:val="001B7C5A"/>
    <w:rsid w:val="001B7EAB"/>
    <w:rsid w:val="001B7FDE"/>
    <w:rsid w:val="001C02A7"/>
    <w:rsid w:val="001C03B1"/>
    <w:rsid w:val="001C0540"/>
    <w:rsid w:val="001C072F"/>
    <w:rsid w:val="001C0AA8"/>
    <w:rsid w:val="001C0BB0"/>
    <w:rsid w:val="001C114A"/>
    <w:rsid w:val="001C18DC"/>
    <w:rsid w:val="001C26B0"/>
    <w:rsid w:val="001C28C0"/>
    <w:rsid w:val="001C2BCF"/>
    <w:rsid w:val="001C305C"/>
    <w:rsid w:val="001C3291"/>
    <w:rsid w:val="001C3322"/>
    <w:rsid w:val="001C38BA"/>
    <w:rsid w:val="001C3D5B"/>
    <w:rsid w:val="001C3E62"/>
    <w:rsid w:val="001C3E68"/>
    <w:rsid w:val="001C4A21"/>
    <w:rsid w:val="001C4AEE"/>
    <w:rsid w:val="001C4D98"/>
    <w:rsid w:val="001C4DB3"/>
    <w:rsid w:val="001C4E2F"/>
    <w:rsid w:val="001C4FDF"/>
    <w:rsid w:val="001C50BD"/>
    <w:rsid w:val="001C5131"/>
    <w:rsid w:val="001C568A"/>
    <w:rsid w:val="001C56E6"/>
    <w:rsid w:val="001C5800"/>
    <w:rsid w:val="001C606A"/>
    <w:rsid w:val="001C61A8"/>
    <w:rsid w:val="001C6238"/>
    <w:rsid w:val="001C64C0"/>
    <w:rsid w:val="001C64F4"/>
    <w:rsid w:val="001C6910"/>
    <w:rsid w:val="001C69EE"/>
    <w:rsid w:val="001C6EDF"/>
    <w:rsid w:val="001C7249"/>
    <w:rsid w:val="001C7630"/>
    <w:rsid w:val="001C7A2B"/>
    <w:rsid w:val="001D000D"/>
    <w:rsid w:val="001D0051"/>
    <w:rsid w:val="001D00E1"/>
    <w:rsid w:val="001D0357"/>
    <w:rsid w:val="001D07C4"/>
    <w:rsid w:val="001D08EA"/>
    <w:rsid w:val="001D145D"/>
    <w:rsid w:val="001D146A"/>
    <w:rsid w:val="001D179C"/>
    <w:rsid w:val="001D1869"/>
    <w:rsid w:val="001D1C12"/>
    <w:rsid w:val="001D1CC5"/>
    <w:rsid w:val="001D2B80"/>
    <w:rsid w:val="001D30AF"/>
    <w:rsid w:val="001D318F"/>
    <w:rsid w:val="001D36EE"/>
    <w:rsid w:val="001D3C17"/>
    <w:rsid w:val="001D3CBD"/>
    <w:rsid w:val="001D3D7C"/>
    <w:rsid w:val="001D4166"/>
    <w:rsid w:val="001D4A38"/>
    <w:rsid w:val="001D4C88"/>
    <w:rsid w:val="001D4F01"/>
    <w:rsid w:val="001D5380"/>
    <w:rsid w:val="001D5471"/>
    <w:rsid w:val="001D55AF"/>
    <w:rsid w:val="001D5744"/>
    <w:rsid w:val="001D5A8F"/>
    <w:rsid w:val="001D6010"/>
    <w:rsid w:val="001D63B3"/>
    <w:rsid w:val="001D652A"/>
    <w:rsid w:val="001D6BB5"/>
    <w:rsid w:val="001D6E67"/>
    <w:rsid w:val="001D6F91"/>
    <w:rsid w:val="001D7091"/>
    <w:rsid w:val="001D71E9"/>
    <w:rsid w:val="001D73F8"/>
    <w:rsid w:val="001D755F"/>
    <w:rsid w:val="001D7ECD"/>
    <w:rsid w:val="001D7FC7"/>
    <w:rsid w:val="001E00E2"/>
    <w:rsid w:val="001E01D1"/>
    <w:rsid w:val="001E0411"/>
    <w:rsid w:val="001E0972"/>
    <w:rsid w:val="001E1129"/>
    <w:rsid w:val="001E11B5"/>
    <w:rsid w:val="001E135E"/>
    <w:rsid w:val="001E1694"/>
    <w:rsid w:val="001E1AE1"/>
    <w:rsid w:val="001E1E35"/>
    <w:rsid w:val="001E1FD1"/>
    <w:rsid w:val="001E2687"/>
    <w:rsid w:val="001E2731"/>
    <w:rsid w:val="001E2B11"/>
    <w:rsid w:val="001E2BB7"/>
    <w:rsid w:val="001E2C45"/>
    <w:rsid w:val="001E3371"/>
    <w:rsid w:val="001E3550"/>
    <w:rsid w:val="001E38DF"/>
    <w:rsid w:val="001E3D1F"/>
    <w:rsid w:val="001E3D24"/>
    <w:rsid w:val="001E3FA4"/>
    <w:rsid w:val="001E4128"/>
    <w:rsid w:val="001E43A2"/>
    <w:rsid w:val="001E48A0"/>
    <w:rsid w:val="001E4988"/>
    <w:rsid w:val="001E49F7"/>
    <w:rsid w:val="001E4AE3"/>
    <w:rsid w:val="001E4B42"/>
    <w:rsid w:val="001E533B"/>
    <w:rsid w:val="001E565E"/>
    <w:rsid w:val="001E5926"/>
    <w:rsid w:val="001E59AE"/>
    <w:rsid w:val="001E5D1C"/>
    <w:rsid w:val="001E5E7B"/>
    <w:rsid w:val="001E61A8"/>
    <w:rsid w:val="001E6E8E"/>
    <w:rsid w:val="001E703C"/>
    <w:rsid w:val="001E7765"/>
    <w:rsid w:val="001E78F6"/>
    <w:rsid w:val="001E796F"/>
    <w:rsid w:val="001E7B09"/>
    <w:rsid w:val="001E7B76"/>
    <w:rsid w:val="001E7C1B"/>
    <w:rsid w:val="001F0475"/>
    <w:rsid w:val="001F0632"/>
    <w:rsid w:val="001F073F"/>
    <w:rsid w:val="001F0A93"/>
    <w:rsid w:val="001F0C9F"/>
    <w:rsid w:val="001F0D84"/>
    <w:rsid w:val="001F0E22"/>
    <w:rsid w:val="001F1183"/>
    <w:rsid w:val="001F139F"/>
    <w:rsid w:val="001F17EF"/>
    <w:rsid w:val="001F190F"/>
    <w:rsid w:val="001F1BA5"/>
    <w:rsid w:val="001F21BD"/>
    <w:rsid w:val="001F2380"/>
    <w:rsid w:val="001F2ADA"/>
    <w:rsid w:val="001F2BA9"/>
    <w:rsid w:val="001F2C71"/>
    <w:rsid w:val="001F2DB5"/>
    <w:rsid w:val="001F2FB1"/>
    <w:rsid w:val="001F30BA"/>
    <w:rsid w:val="001F343D"/>
    <w:rsid w:val="001F3441"/>
    <w:rsid w:val="001F38F7"/>
    <w:rsid w:val="001F397B"/>
    <w:rsid w:val="001F3A79"/>
    <w:rsid w:val="001F3B88"/>
    <w:rsid w:val="001F40FA"/>
    <w:rsid w:val="001F478D"/>
    <w:rsid w:val="001F4AEA"/>
    <w:rsid w:val="001F4BA8"/>
    <w:rsid w:val="001F4C6D"/>
    <w:rsid w:val="001F4DC8"/>
    <w:rsid w:val="001F5686"/>
    <w:rsid w:val="001F599E"/>
    <w:rsid w:val="001F59B3"/>
    <w:rsid w:val="001F5B7A"/>
    <w:rsid w:val="001F6095"/>
    <w:rsid w:val="001F60DE"/>
    <w:rsid w:val="001F6142"/>
    <w:rsid w:val="001F6248"/>
    <w:rsid w:val="001F663C"/>
    <w:rsid w:val="001F6948"/>
    <w:rsid w:val="001F6F26"/>
    <w:rsid w:val="001F74D5"/>
    <w:rsid w:val="001F7E20"/>
    <w:rsid w:val="00200003"/>
    <w:rsid w:val="0020009E"/>
    <w:rsid w:val="002002BA"/>
    <w:rsid w:val="00200497"/>
    <w:rsid w:val="002005CB"/>
    <w:rsid w:val="0020105F"/>
    <w:rsid w:val="00201431"/>
    <w:rsid w:val="002017A7"/>
    <w:rsid w:val="00202266"/>
    <w:rsid w:val="00202386"/>
    <w:rsid w:val="002032A4"/>
    <w:rsid w:val="0020355E"/>
    <w:rsid w:val="002039AA"/>
    <w:rsid w:val="00203A55"/>
    <w:rsid w:val="00203A9F"/>
    <w:rsid w:val="00203B9A"/>
    <w:rsid w:val="00203C15"/>
    <w:rsid w:val="00203FD3"/>
    <w:rsid w:val="002042A2"/>
    <w:rsid w:val="0020467D"/>
    <w:rsid w:val="0020508C"/>
    <w:rsid w:val="00205396"/>
    <w:rsid w:val="00205494"/>
    <w:rsid w:val="0020631D"/>
    <w:rsid w:val="0020671F"/>
    <w:rsid w:val="00206A42"/>
    <w:rsid w:val="00206AB8"/>
    <w:rsid w:val="00207131"/>
    <w:rsid w:val="002071B1"/>
    <w:rsid w:val="00207202"/>
    <w:rsid w:val="002076E8"/>
    <w:rsid w:val="00207739"/>
    <w:rsid w:val="0020782E"/>
    <w:rsid w:val="00207ECA"/>
    <w:rsid w:val="00207F56"/>
    <w:rsid w:val="00207F6F"/>
    <w:rsid w:val="00210178"/>
    <w:rsid w:val="00210B88"/>
    <w:rsid w:val="00210DB1"/>
    <w:rsid w:val="00211151"/>
    <w:rsid w:val="00211740"/>
    <w:rsid w:val="002117C5"/>
    <w:rsid w:val="0021194D"/>
    <w:rsid w:val="0021197B"/>
    <w:rsid w:val="00212005"/>
    <w:rsid w:val="002121F5"/>
    <w:rsid w:val="002122D4"/>
    <w:rsid w:val="002124D0"/>
    <w:rsid w:val="0021254E"/>
    <w:rsid w:val="00212D8F"/>
    <w:rsid w:val="00212ED1"/>
    <w:rsid w:val="00213041"/>
    <w:rsid w:val="002131BD"/>
    <w:rsid w:val="002132CB"/>
    <w:rsid w:val="00213565"/>
    <w:rsid w:val="00213A09"/>
    <w:rsid w:val="00213A2A"/>
    <w:rsid w:val="00213B1B"/>
    <w:rsid w:val="00214146"/>
    <w:rsid w:val="002142D1"/>
    <w:rsid w:val="0021430B"/>
    <w:rsid w:val="002145D7"/>
    <w:rsid w:val="002146B3"/>
    <w:rsid w:val="0021487E"/>
    <w:rsid w:val="00215140"/>
    <w:rsid w:val="002153BD"/>
    <w:rsid w:val="002157E7"/>
    <w:rsid w:val="00215F75"/>
    <w:rsid w:val="00216103"/>
    <w:rsid w:val="00216872"/>
    <w:rsid w:val="00216A59"/>
    <w:rsid w:val="00216BB0"/>
    <w:rsid w:val="00217008"/>
    <w:rsid w:val="00217309"/>
    <w:rsid w:val="00217774"/>
    <w:rsid w:val="002177BD"/>
    <w:rsid w:val="0021783D"/>
    <w:rsid w:val="00217890"/>
    <w:rsid w:val="00220371"/>
    <w:rsid w:val="0022093C"/>
    <w:rsid w:val="002209B3"/>
    <w:rsid w:val="002209DD"/>
    <w:rsid w:val="00220B20"/>
    <w:rsid w:val="00220E2F"/>
    <w:rsid w:val="002210F7"/>
    <w:rsid w:val="00221210"/>
    <w:rsid w:val="00221829"/>
    <w:rsid w:val="002219A0"/>
    <w:rsid w:val="00221E47"/>
    <w:rsid w:val="00221F38"/>
    <w:rsid w:val="00222276"/>
    <w:rsid w:val="00222426"/>
    <w:rsid w:val="002228AE"/>
    <w:rsid w:val="002228B4"/>
    <w:rsid w:val="002229FB"/>
    <w:rsid w:val="00222C99"/>
    <w:rsid w:val="00222ED5"/>
    <w:rsid w:val="00223128"/>
    <w:rsid w:val="002235C2"/>
    <w:rsid w:val="00223CED"/>
    <w:rsid w:val="00223D4A"/>
    <w:rsid w:val="00223EAF"/>
    <w:rsid w:val="00224237"/>
    <w:rsid w:val="002244FE"/>
    <w:rsid w:val="00224595"/>
    <w:rsid w:val="002246E6"/>
    <w:rsid w:val="00224BB1"/>
    <w:rsid w:val="00224C22"/>
    <w:rsid w:val="002250CB"/>
    <w:rsid w:val="0022526C"/>
    <w:rsid w:val="002252E3"/>
    <w:rsid w:val="002254D1"/>
    <w:rsid w:val="00225543"/>
    <w:rsid w:val="0022566D"/>
    <w:rsid w:val="002256A7"/>
    <w:rsid w:val="00225C6D"/>
    <w:rsid w:val="00225E1E"/>
    <w:rsid w:val="00225EA8"/>
    <w:rsid w:val="00225FEA"/>
    <w:rsid w:val="002264E1"/>
    <w:rsid w:val="0022672C"/>
    <w:rsid w:val="002267E5"/>
    <w:rsid w:val="002269BC"/>
    <w:rsid w:val="00226D0A"/>
    <w:rsid w:val="00226FCE"/>
    <w:rsid w:val="00227212"/>
    <w:rsid w:val="00227A3C"/>
    <w:rsid w:val="00227E60"/>
    <w:rsid w:val="00227ED2"/>
    <w:rsid w:val="00230415"/>
    <w:rsid w:val="00230784"/>
    <w:rsid w:val="00230880"/>
    <w:rsid w:val="0023091D"/>
    <w:rsid w:val="00230991"/>
    <w:rsid w:val="00230A72"/>
    <w:rsid w:val="00230BEF"/>
    <w:rsid w:val="0023113C"/>
    <w:rsid w:val="0023195C"/>
    <w:rsid w:val="00231C65"/>
    <w:rsid w:val="002327EE"/>
    <w:rsid w:val="00232D78"/>
    <w:rsid w:val="00232E1D"/>
    <w:rsid w:val="0023329E"/>
    <w:rsid w:val="002337BA"/>
    <w:rsid w:val="00233962"/>
    <w:rsid w:val="002341CC"/>
    <w:rsid w:val="0023425F"/>
    <w:rsid w:val="00234583"/>
    <w:rsid w:val="0023505B"/>
    <w:rsid w:val="002354BA"/>
    <w:rsid w:val="00235616"/>
    <w:rsid w:val="00235D11"/>
    <w:rsid w:val="00235E6B"/>
    <w:rsid w:val="00235F7F"/>
    <w:rsid w:val="00236399"/>
    <w:rsid w:val="002367CE"/>
    <w:rsid w:val="0023695F"/>
    <w:rsid w:val="00236C22"/>
    <w:rsid w:val="00236C74"/>
    <w:rsid w:val="00236D3B"/>
    <w:rsid w:val="00236E1E"/>
    <w:rsid w:val="002377EE"/>
    <w:rsid w:val="00237A67"/>
    <w:rsid w:val="00240195"/>
    <w:rsid w:val="00240640"/>
    <w:rsid w:val="0024089F"/>
    <w:rsid w:val="002408A6"/>
    <w:rsid w:val="0024094F"/>
    <w:rsid w:val="00240A08"/>
    <w:rsid w:val="00240A57"/>
    <w:rsid w:val="00240C2E"/>
    <w:rsid w:val="00241084"/>
    <w:rsid w:val="002412A4"/>
    <w:rsid w:val="00241524"/>
    <w:rsid w:val="00241611"/>
    <w:rsid w:val="002417A4"/>
    <w:rsid w:val="00241C58"/>
    <w:rsid w:val="002424C3"/>
    <w:rsid w:val="002428B2"/>
    <w:rsid w:val="00242C0B"/>
    <w:rsid w:val="00242CA4"/>
    <w:rsid w:val="00242F53"/>
    <w:rsid w:val="00242FE9"/>
    <w:rsid w:val="00243011"/>
    <w:rsid w:val="00243041"/>
    <w:rsid w:val="0024333D"/>
    <w:rsid w:val="002435C5"/>
    <w:rsid w:val="00243E69"/>
    <w:rsid w:val="00243EE8"/>
    <w:rsid w:val="0024451A"/>
    <w:rsid w:val="002445AB"/>
    <w:rsid w:val="00245454"/>
    <w:rsid w:val="0024576F"/>
    <w:rsid w:val="00245A52"/>
    <w:rsid w:val="00245B81"/>
    <w:rsid w:val="00245C35"/>
    <w:rsid w:val="0024607D"/>
    <w:rsid w:val="002461B6"/>
    <w:rsid w:val="0024626D"/>
    <w:rsid w:val="00246399"/>
    <w:rsid w:val="002465EF"/>
    <w:rsid w:val="0024683A"/>
    <w:rsid w:val="00246C84"/>
    <w:rsid w:val="00246CE9"/>
    <w:rsid w:val="00246DD0"/>
    <w:rsid w:val="00246E8E"/>
    <w:rsid w:val="0024736C"/>
    <w:rsid w:val="00247574"/>
    <w:rsid w:val="00250049"/>
    <w:rsid w:val="00250114"/>
    <w:rsid w:val="00250BD2"/>
    <w:rsid w:val="00250CB6"/>
    <w:rsid w:val="00250D61"/>
    <w:rsid w:val="00250D88"/>
    <w:rsid w:val="00250FD8"/>
    <w:rsid w:val="00251186"/>
    <w:rsid w:val="00251372"/>
    <w:rsid w:val="00251581"/>
    <w:rsid w:val="00252A92"/>
    <w:rsid w:val="00252EF0"/>
    <w:rsid w:val="00252F6B"/>
    <w:rsid w:val="00253756"/>
    <w:rsid w:val="00253A8C"/>
    <w:rsid w:val="00253CE0"/>
    <w:rsid w:val="00253F46"/>
    <w:rsid w:val="00253F5C"/>
    <w:rsid w:val="00254881"/>
    <w:rsid w:val="002548A6"/>
    <w:rsid w:val="00254EDF"/>
    <w:rsid w:val="00254FB3"/>
    <w:rsid w:val="00255006"/>
    <w:rsid w:val="002551B3"/>
    <w:rsid w:val="00255341"/>
    <w:rsid w:val="002554B2"/>
    <w:rsid w:val="002561EC"/>
    <w:rsid w:val="002566BB"/>
    <w:rsid w:val="00256825"/>
    <w:rsid w:val="00256EA2"/>
    <w:rsid w:val="00256EDB"/>
    <w:rsid w:val="00256F68"/>
    <w:rsid w:val="002576B9"/>
    <w:rsid w:val="00257D18"/>
    <w:rsid w:val="002603AC"/>
    <w:rsid w:val="002608ED"/>
    <w:rsid w:val="00260A68"/>
    <w:rsid w:val="00260A96"/>
    <w:rsid w:val="00260C39"/>
    <w:rsid w:val="002610DB"/>
    <w:rsid w:val="002613ED"/>
    <w:rsid w:val="00261511"/>
    <w:rsid w:val="00261A99"/>
    <w:rsid w:val="00261BF7"/>
    <w:rsid w:val="00261F90"/>
    <w:rsid w:val="0026208F"/>
    <w:rsid w:val="00262117"/>
    <w:rsid w:val="00262284"/>
    <w:rsid w:val="002628DF"/>
    <w:rsid w:val="00262B33"/>
    <w:rsid w:val="00262CD6"/>
    <w:rsid w:val="00262DA3"/>
    <w:rsid w:val="00262FCB"/>
    <w:rsid w:val="00263F96"/>
    <w:rsid w:val="00263FC2"/>
    <w:rsid w:val="00264386"/>
    <w:rsid w:val="00264623"/>
    <w:rsid w:val="00264C81"/>
    <w:rsid w:val="00264F76"/>
    <w:rsid w:val="00265173"/>
    <w:rsid w:val="0026525E"/>
    <w:rsid w:val="00265E23"/>
    <w:rsid w:val="0026655C"/>
    <w:rsid w:val="002668AB"/>
    <w:rsid w:val="00266CE9"/>
    <w:rsid w:val="00266F28"/>
    <w:rsid w:val="0026717D"/>
    <w:rsid w:val="00267344"/>
    <w:rsid w:val="00267359"/>
    <w:rsid w:val="00267480"/>
    <w:rsid w:val="002676AD"/>
    <w:rsid w:val="00267C31"/>
    <w:rsid w:val="00267D1C"/>
    <w:rsid w:val="00267FE9"/>
    <w:rsid w:val="0027004C"/>
    <w:rsid w:val="00270075"/>
    <w:rsid w:val="002700E0"/>
    <w:rsid w:val="002700FC"/>
    <w:rsid w:val="002703B2"/>
    <w:rsid w:val="00270466"/>
    <w:rsid w:val="00270E0E"/>
    <w:rsid w:val="00271100"/>
    <w:rsid w:val="00271196"/>
    <w:rsid w:val="0027121B"/>
    <w:rsid w:val="00271281"/>
    <w:rsid w:val="002714B4"/>
    <w:rsid w:val="00271AAC"/>
    <w:rsid w:val="00271B1D"/>
    <w:rsid w:val="00271BCF"/>
    <w:rsid w:val="00271BD4"/>
    <w:rsid w:val="0027200E"/>
    <w:rsid w:val="002722CA"/>
    <w:rsid w:val="0027232D"/>
    <w:rsid w:val="00272433"/>
    <w:rsid w:val="00272F53"/>
    <w:rsid w:val="0027309C"/>
    <w:rsid w:val="002730B0"/>
    <w:rsid w:val="00273599"/>
    <w:rsid w:val="002737D4"/>
    <w:rsid w:val="00273832"/>
    <w:rsid w:val="0027383C"/>
    <w:rsid w:val="00273B26"/>
    <w:rsid w:val="00273DA5"/>
    <w:rsid w:val="00273FED"/>
    <w:rsid w:val="00274064"/>
    <w:rsid w:val="00274212"/>
    <w:rsid w:val="00274673"/>
    <w:rsid w:val="00274FEA"/>
    <w:rsid w:val="00275279"/>
    <w:rsid w:val="0027534A"/>
    <w:rsid w:val="00275C1B"/>
    <w:rsid w:val="0027622C"/>
    <w:rsid w:val="002763D6"/>
    <w:rsid w:val="00276D11"/>
    <w:rsid w:val="00276E93"/>
    <w:rsid w:val="00277080"/>
    <w:rsid w:val="0027708C"/>
    <w:rsid w:val="002771C2"/>
    <w:rsid w:val="002774E0"/>
    <w:rsid w:val="00277599"/>
    <w:rsid w:val="0027776F"/>
    <w:rsid w:val="00277A9B"/>
    <w:rsid w:val="00277D68"/>
    <w:rsid w:val="00277E80"/>
    <w:rsid w:val="0028019A"/>
    <w:rsid w:val="00280283"/>
    <w:rsid w:val="002806CE"/>
    <w:rsid w:val="0028092B"/>
    <w:rsid w:val="0028097B"/>
    <w:rsid w:val="00280BEC"/>
    <w:rsid w:val="00280DB3"/>
    <w:rsid w:val="00280FA8"/>
    <w:rsid w:val="0028146F"/>
    <w:rsid w:val="00281668"/>
    <w:rsid w:val="00281797"/>
    <w:rsid w:val="00281886"/>
    <w:rsid w:val="00281A01"/>
    <w:rsid w:val="00281AD1"/>
    <w:rsid w:val="00281E25"/>
    <w:rsid w:val="002821C9"/>
    <w:rsid w:val="002822AE"/>
    <w:rsid w:val="002822C4"/>
    <w:rsid w:val="00282AD0"/>
    <w:rsid w:val="00282EFD"/>
    <w:rsid w:val="00283032"/>
    <w:rsid w:val="00283125"/>
    <w:rsid w:val="0028336A"/>
    <w:rsid w:val="002834E0"/>
    <w:rsid w:val="00283591"/>
    <w:rsid w:val="00283B0D"/>
    <w:rsid w:val="00283C87"/>
    <w:rsid w:val="00284612"/>
    <w:rsid w:val="0028499D"/>
    <w:rsid w:val="0028509B"/>
    <w:rsid w:val="0028531C"/>
    <w:rsid w:val="002856D1"/>
    <w:rsid w:val="002859A3"/>
    <w:rsid w:val="002859CD"/>
    <w:rsid w:val="00285A6F"/>
    <w:rsid w:val="00285D19"/>
    <w:rsid w:val="00285E95"/>
    <w:rsid w:val="00285F28"/>
    <w:rsid w:val="00286256"/>
    <w:rsid w:val="0028627E"/>
    <w:rsid w:val="00286357"/>
    <w:rsid w:val="002863E7"/>
    <w:rsid w:val="00286957"/>
    <w:rsid w:val="00286DD8"/>
    <w:rsid w:val="00287288"/>
    <w:rsid w:val="0028761A"/>
    <w:rsid w:val="002877C9"/>
    <w:rsid w:val="002879BD"/>
    <w:rsid w:val="00287B91"/>
    <w:rsid w:val="00287BB5"/>
    <w:rsid w:val="00287D04"/>
    <w:rsid w:val="00287F51"/>
    <w:rsid w:val="0029022E"/>
    <w:rsid w:val="0029056D"/>
    <w:rsid w:val="0029065F"/>
    <w:rsid w:val="00290B08"/>
    <w:rsid w:val="00290B7A"/>
    <w:rsid w:val="00291196"/>
    <w:rsid w:val="00291258"/>
    <w:rsid w:val="00291832"/>
    <w:rsid w:val="002918C2"/>
    <w:rsid w:val="00291FD2"/>
    <w:rsid w:val="0029296D"/>
    <w:rsid w:val="00292CA7"/>
    <w:rsid w:val="00292E3C"/>
    <w:rsid w:val="00292EAB"/>
    <w:rsid w:val="002931D3"/>
    <w:rsid w:val="0029354F"/>
    <w:rsid w:val="0029362D"/>
    <w:rsid w:val="00293A80"/>
    <w:rsid w:val="00293AAD"/>
    <w:rsid w:val="002943E7"/>
    <w:rsid w:val="00294517"/>
    <w:rsid w:val="00294D9F"/>
    <w:rsid w:val="00294E87"/>
    <w:rsid w:val="00295000"/>
    <w:rsid w:val="002955BA"/>
    <w:rsid w:val="0029609C"/>
    <w:rsid w:val="0029628A"/>
    <w:rsid w:val="002962DB"/>
    <w:rsid w:val="002968E7"/>
    <w:rsid w:val="00296AA0"/>
    <w:rsid w:val="00296B46"/>
    <w:rsid w:val="002973ED"/>
    <w:rsid w:val="00297676"/>
    <w:rsid w:val="00297906"/>
    <w:rsid w:val="00297CB8"/>
    <w:rsid w:val="00297F3F"/>
    <w:rsid w:val="002A00EB"/>
    <w:rsid w:val="002A0307"/>
    <w:rsid w:val="002A04B5"/>
    <w:rsid w:val="002A0646"/>
    <w:rsid w:val="002A0CAE"/>
    <w:rsid w:val="002A1243"/>
    <w:rsid w:val="002A1646"/>
    <w:rsid w:val="002A209F"/>
    <w:rsid w:val="002A21A1"/>
    <w:rsid w:val="002A229E"/>
    <w:rsid w:val="002A24B4"/>
    <w:rsid w:val="002A27A1"/>
    <w:rsid w:val="002A2955"/>
    <w:rsid w:val="002A2A2C"/>
    <w:rsid w:val="002A2DC2"/>
    <w:rsid w:val="002A2DDF"/>
    <w:rsid w:val="002A2F4B"/>
    <w:rsid w:val="002A323A"/>
    <w:rsid w:val="002A333D"/>
    <w:rsid w:val="002A3CA2"/>
    <w:rsid w:val="002A3DDC"/>
    <w:rsid w:val="002A3F87"/>
    <w:rsid w:val="002A411C"/>
    <w:rsid w:val="002A4194"/>
    <w:rsid w:val="002A43B0"/>
    <w:rsid w:val="002A4913"/>
    <w:rsid w:val="002A4A2F"/>
    <w:rsid w:val="002A4AC9"/>
    <w:rsid w:val="002A4F3A"/>
    <w:rsid w:val="002A5189"/>
    <w:rsid w:val="002A54C1"/>
    <w:rsid w:val="002A5C55"/>
    <w:rsid w:val="002A6410"/>
    <w:rsid w:val="002A6508"/>
    <w:rsid w:val="002A6DDE"/>
    <w:rsid w:val="002A70F5"/>
    <w:rsid w:val="002A7B92"/>
    <w:rsid w:val="002B008F"/>
    <w:rsid w:val="002B06D5"/>
    <w:rsid w:val="002B08F8"/>
    <w:rsid w:val="002B09C6"/>
    <w:rsid w:val="002B0C2B"/>
    <w:rsid w:val="002B0D23"/>
    <w:rsid w:val="002B0F44"/>
    <w:rsid w:val="002B0F73"/>
    <w:rsid w:val="002B0F81"/>
    <w:rsid w:val="002B10C9"/>
    <w:rsid w:val="002B1587"/>
    <w:rsid w:val="002B15BF"/>
    <w:rsid w:val="002B16EC"/>
    <w:rsid w:val="002B1FC1"/>
    <w:rsid w:val="002B1FCC"/>
    <w:rsid w:val="002B239F"/>
    <w:rsid w:val="002B266B"/>
    <w:rsid w:val="002B2AC1"/>
    <w:rsid w:val="002B2CDE"/>
    <w:rsid w:val="002B30FF"/>
    <w:rsid w:val="002B37E6"/>
    <w:rsid w:val="002B383B"/>
    <w:rsid w:val="002B38BE"/>
    <w:rsid w:val="002B38EF"/>
    <w:rsid w:val="002B3A07"/>
    <w:rsid w:val="002B3A3D"/>
    <w:rsid w:val="002B3DB8"/>
    <w:rsid w:val="002B3F7D"/>
    <w:rsid w:val="002B44FD"/>
    <w:rsid w:val="002B4C43"/>
    <w:rsid w:val="002B4CEC"/>
    <w:rsid w:val="002B50F0"/>
    <w:rsid w:val="002B517A"/>
    <w:rsid w:val="002B521F"/>
    <w:rsid w:val="002B5410"/>
    <w:rsid w:val="002B5A84"/>
    <w:rsid w:val="002B5CEC"/>
    <w:rsid w:val="002B5D29"/>
    <w:rsid w:val="002B5DBD"/>
    <w:rsid w:val="002B5E13"/>
    <w:rsid w:val="002B5EEC"/>
    <w:rsid w:val="002B62A0"/>
    <w:rsid w:val="002B658B"/>
    <w:rsid w:val="002B660B"/>
    <w:rsid w:val="002B6669"/>
    <w:rsid w:val="002B69EF"/>
    <w:rsid w:val="002B7093"/>
    <w:rsid w:val="002B72A3"/>
    <w:rsid w:val="002B7372"/>
    <w:rsid w:val="002B784B"/>
    <w:rsid w:val="002B7A92"/>
    <w:rsid w:val="002B7DB5"/>
    <w:rsid w:val="002C0170"/>
    <w:rsid w:val="002C05E0"/>
    <w:rsid w:val="002C099D"/>
    <w:rsid w:val="002C0B3F"/>
    <w:rsid w:val="002C2278"/>
    <w:rsid w:val="002C256A"/>
    <w:rsid w:val="002C2585"/>
    <w:rsid w:val="002C262A"/>
    <w:rsid w:val="002C27BF"/>
    <w:rsid w:val="002C2830"/>
    <w:rsid w:val="002C2A91"/>
    <w:rsid w:val="002C2BDA"/>
    <w:rsid w:val="002C2C19"/>
    <w:rsid w:val="002C2D51"/>
    <w:rsid w:val="002C2F89"/>
    <w:rsid w:val="002C303A"/>
    <w:rsid w:val="002C312D"/>
    <w:rsid w:val="002C3412"/>
    <w:rsid w:val="002C34DC"/>
    <w:rsid w:val="002C39C6"/>
    <w:rsid w:val="002C3C00"/>
    <w:rsid w:val="002C3F5B"/>
    <w:rsid w:val="002C4187"/>
    <w:rsid w:val="002C41DF"/>
    <w:rsid w:val="002C42C8"/>
    <w:rsid w:val="002C4905"/>
    <w:rsid w:val="002C4B9F"/>
    <w:rsid w:val="002C4ED3"/>
    <w:rsid w:val="002C5508"/>
    <w:rsid w:val="002C5900"/>
    <w:rsid w:val="002C5AE2"/>
    <w:rsid w:val="002C5B30"/>
    <w:rsid w:val="002C5B4D"/>
    <w:rsid w:val="002C5DC7"/>
    <w:rsid w:val="002C5F65"/>
    <w:rsid w:val="002C615A"/>
    <w:rsid w:val="002C6459"/>
    <w:rsid w:val="002C69B3"/>
    <w:rsid w:val="002C6AE8"/>
    <w:rsid w:val="002C75E2"/>
    <w:rsid w:val="002C7809"/>
    <w:rsid w:val="002C784B"/>
    <w:rsid w:val="002D05CB"/>
    <w:rsid w:val="002D062C"/>
    <w:rsid w:val="002D069E"/>
    <w:rsid w:val="002D06D8"/>
    <w:rsid w:val="002D0B5E"/>
    <w:rsid w:val="002D0B6E"/>
    <w:rsid w:val="002D1093"/>
    <w:rsid w:val="002D1397"/>
    <w:rsid w:val="002D157F"/>
    <w:rsid w:val="002D15D3"/>
    <w:rsid w:val="002D1683"/>
    <w:rsid w:val="002D20E4"/>
    <w:rsid w:val="002D21F3"/>
    <w:rsid w:val="002D24D2"/>
    <w:rsid w:val="002D2843"/>
    <w:rsid w:val="002D2AD9"/>
    <w:rsid w:val="002D2C3A"/>
    <w:rsid w:val="002D2F86"/>
    <w:rsid w:val="002D2F9D"/>
    <w:rsid w:val="002D30A6"/>
    <w:rsid w:val="002D30FE"/>
    <w:rsid w:val="002D35FE"/>
    <w:rsid w:val="002D38DF"/>
    <w:rsid w:val="002D39D3"/>
    <w:rsid w:val="002D3A99"/>
    <w:rsid w:val="002D3B5D"/>
    <w:rsid w:val="002D3C3A"/>
    <w:rsid w:val="002D4654"/>
    <w:rsid w:val="002D4690"/>
    <w:rsid w:val="002D47DC"/>
    <w:rsid w:val="002D49F9"/>
    <w:rsid w:val="002D55F8"/>
    <w:rsid w:val="002D6089"/>
    <w:rsid w:val="002D636D"/>
    <w:rsid w:val="002D642C"/>
    <w:rsid w:val="002D6575"/>
    <w:rsid w:val="002D6C40"/>
    <w:rsid w:val="002D6EB5"/>
    <w:rsid w:val="002D6F63"/>
    <w:rsid w:val="002D7195"/>
    <w:rsid w:val="002D72DA"/>
    <w:rsid w:val="002D79C9"/>
    <w:rsid w:val="002D7CEF"/>
    <w:rsid w:val="002D7FF7"/>
    <w:rsid w:val="002E00DE"/>
    <w:rsid w:val="002E0186"/>
    <w:rsid w:val="002E09C3"/>
    <w:rsid w:val="002E0AAE"/>
    <w:rsid w:val="002E0D94"/>
    <w:rsid w:val="002E11F4"/>
    <w:rsid w:val="002E18F7"/>
    <w:rsid w:val="002E212E"/>
    <w:rsid w:val="002E2AFE"/>
    <w:rsid w:val="002E2B4C"/>
    <w:rsid w:val="002E2DC1"/>
    <w:rsid w:val="002E3731"/>
    <w:rsid w:val="002E3853"/>
    <w:rsid w:val="002E39A8"/>
    <w:rsid w:val="002E3A00"/>
    <w:rsid w:val="002E3E44"/>
    <w:rsid w:val="002E3E7D"/>
    <w:rsid w:val="002E4230"/>
    <w:rsid w:val="002E4290"/>
    <w:rsid w:val="002E4891"/>
    <w:rsid w:val="002E4929"/>
    <w:rsid w:val="002E4BD6"/>
    <w:rsid w:val="002E4BEA"/>
    <w:rsid w:val="002E52FE"/>
    <w:rsid w:val="002E5498"/>
    <w:rsid w:val="002E583D"/>
    <w:rsid w:val="002E5AA3"/>
    <w:rsid w:val="002E6443"/>
    <w:rsid w:val="002E651A"/>
    <w:rsid w:val="002E6C96"/>
    <w:rsid w:val="002E6DC9"/>
    <w:rsid w:val="002E7471"/>
    <w:rsid w:val="002E7517"/>
    <w:rsid w:val="002E7811"/>
    <w:rsid w:val="002E791C"/>
    <w:rsid w:val="002E7A0A"/>
    <w:rsid w:val="002E7C2A"/>
    <w:rsid w:val="002E7D08"/>
    <w:rsid w:val="002F043D"/>
    <w:rsid w:val="002F0F2B"/>
    <w:rsid w:val="002F0F2D"/>
    <w:rsid w:val="002F1BC6"/>
    <w:rsid w:val="002F1DC2"/>
    <w:rsid w:val="002F1DD1"/>
    <w:rsid w:val="002F209D"/>
    <w:rsid w:val="002F260B"/>
    <w:rsid w:val="002F273D"/>
    <w:rsid w:val="002F284A"/>
    <w:rsid w:val="002F2892"/>
    <w:rsid w:val="002F291A"/>
    <w:rsid w:val="002F303A"/>
    <w:rsid w:val="002F3862"/>
    <w:rsid w:val="002F39B4"/>
    <w:rsid w:val="002F3C9D"/>
    <w:rsid w:val="002F3E0E"/>
    <w:rsid w:val="002F3E1C"/>
    <w:rsid w:val="002F3FEE"/>
    <w:rsid w:val="002F426A"/>
    <w:rsid w:val="002F453B"/>
    <w:rsid w:val="002F48FE"/>
    <w:rsid w:val="002F4E60"/>
    <w:rsid w:val="002F5EC1"/>
    <w:rsid w:val="002F66BA"/>
    <w:rsid w:val="002F6814"/>
    <w:rsid w:val="002F6B79"/>
    <w:rsid w:val="002F6F2C"/>
    <w:rsid w:val="002F704B"/>
    <w:rsid w:val="002F7483"/>
    <w:rsid w:val="002F7A2B"/>
    <w:rsid w:val="002F7B90"/>
    <w:rsid w:val="002F7BAC"/>
    <w:rsid w:val="002F7BE8"/>
    <w:rsid w:val="0030080D"/>
    <w:rsid w:val="003009DA"/>
    <w:rsid w:val="00300ABF"/>
    <w:rsid w:val="00300AFB"/>
    <w:rsid w:val="00300D41"/>
    <w:rsid w:val="00300EB1"/>
    <w:rsid w:val="00301561"/>
    <w:rsid w:val="00301751"/>
    <w:rsid w:val="00301A5C"/>
    <w:rsid w:val="00301DE9"/>
    <w:rsid w:val="00301FEE"/>
    <w:rsid w:val="0030224F"/>
    <w:rsid w:val="00302452"/>
    <w:rsid w:val="003024F8"/>
    <w:rsid w:val="00302692"/>
    <w:rsid w:val="0030269D"/>
    <w:rsid w:val="003027C6"/>
    <w:rsid w:val="0030281B"/>
    <w:rsid w:val="003029FE"/>
    <w:rsid w:val="00302A99"/>
    <w:rsid w:val="00302AB3"/>
    <w:rsid w:val="00302CE6"/>
    <w:rsid w:val="00303292"/>
    <w:rsid w:val="00303449"/>
    <w:rsid w:val="0030349A"/>
    <w:rsid w:val="00303502"/>
    <w:rsid w:val="00303A06"/>
    <w:rsid w:val="00303DD7"/>
    <w:rsid w:val="00303E8A"/>
    <w:rsid w:val="00304148"/>
    <w:rsid w:val="0030434D"/>
    <w:rsid w:val="003043BF"/>
    <w:rsid w:val="003046A1"/>
    <w:rsid w:val="0030486C"/>
    <w:rsid w:val="00304B73"/>
    <w:rsid w:val="00304DCF"/>
    <w:rsid w:val="0030518E"/>
    <w:rsid w:val="00305284"/>
    <w:rsid w:val="003056A8"/>
    <w:rsid w:val="003056AD"/>
    <w:rsid w:val="003056E2"/>
    <w:rsid w:val="00306236"/>
    <w:rsid w:val="00306865"/>
    <w:rsid w:val="003068E3"/>
    <w:rsid w:val="00306ABD"/>
    <w:rsid w:val="0030743F"/>
    <w:rsid w:val="0030749D"/>
    <w:rsid w:val="003075B6"/>
    <w:rsid w:val="003075ED"/>
    <w:rsid w:val="0030774B"/>
    <w:rsid w:val="00307788"/>
    <w:rsid w:val="00307EB2"/>
    <w:rsid w:val="003101CD"/>
    <w:rsid w:val="00310B2E"/>
    <w:rsid w:val="00310EA3"/>
    <w:rsid w:val="003110B9"/>
    <w:rsid w:val="0031117A"/>
    <w:rsid w:val="00311472"/>
    <w:rsid w:val="00311689"/>
    <w:rsid w:val="00311829"/>
    <w:rsid w:val="00311AAB"/>
    <w:rsid w:val="00311CF6"/>
    <w:rsid w:val="00311F0E"/>
    <w:rsid w:val="00312AE0"/>
    <w:rsid w:val="00313089"/>
    <w:rsid w:val="00313907"/>
    <w:rsid w:val="003139E2"/>
    <w:rsid w:val="00314AC7"/>
    <w:rsid w:val="00314B25"/>
    <w:rsid w:val="00314C41"/>
    <w:rsid w:val="0031505F"/>
    <w:rsid w:val="00315261"/>
    <w:rsid w:val="00315393"/>
    <w:rsid w:val="00316677"/>
    <w:rsid w:val="00316832"/>
    <w:rsid w:val="00316896"/>
    <w:rsid w:val="00316B1F"/>
    <w:rsid w:val="00316B6E"/>
    <w:rsid w:val="00316D0F"/>
    <w:rsid w:val="00316DED"/>
    <w:rsid w:val="00317A12"/>
    <w:rsid w:val="00317CC9"/>
    <w:rsid w:val="00317EAF"/>
    <w:rsid w:val="00317EDA"/>
    <w:rsid w:val="00320047"/>
    <w:rsid w:val="003201ED"/>
    <w:rsid w:val="003202CB"/>
    <w:rsid w:val="00320442"/>
    <w:rsid w:val="0032062F"/>
    <w:rsid w:val="003208AC"/>
    <w:rsid w:val="00320B86"/>
    <w:rsid w:val="003211D9"/>
    <w:rsid w:val="003211DC"/>
    <w:rsid w:val="00321373"/>
    <w:rsid w:val="00321517"/>
    <w:rsid w:val="00321B2D"/>
    <w:rsid w:val="00322645"/>
    <w:rsid w:val="003226B9"/>
    <w:rsid w:val="00322810"/>
    <w:rsid w:val="00322D39"/>
    <w:rsid w:val="00323327"/>
    <w:rsid w:val="00323965"/>
    <w:rsid w:val="00323FF2"/>
    <w:rsid w:val="00324D2C"/>
    <w:rsid w:val="00324DEB"/>
    <w:rsid w:val="00324FE6"/>
    <w:rsid w:val="00325192"/>
    <w:rsid w:val="00326787"/>
    <w:rsid w:val="003269C8"/>
    <w:rsid w:val="00326ACD"/>
    <w:rsid w:val="00326BA0"/>
    <w:rsid w:val="00327267"/>
    <w:rsid w:val="003272EE"/>
    <w:rsid w:val="0032755D"/>
    <w:rsid w:val="00327C07"/>
    <w:rsid w:val="003301FD"/>
    <w:rsid w:val="00330494"/>
    <w:rsid w:val="00330537"/>
    <w:rsid w:val="003308EA"/>
    <w:rsid w:val="003309C5"/>
    <w:rsid w:val="00330C1E"/>
    <w:rsid w:val="00330D92"/>
    <w:rsid w:val="00330DF5"/>
    <w:rsid w:val="00330E71"/>
    <w:rsid w:val="00331018"/>
    <w:rsid w:val="003310C9"/>
    <w:rsid w:val="0033119C"/>
    <w:rsid w:val="003311F2"/>
    <w:rsid w:val="00331632"/>
    <w:rsid w:val="00331D66"/>
    <w:rsid w:val="003320D9"/>
    <w:rsid w:val="00332156"/>
    <w:rsid w:val="00332A74"/>
    <w:rsid w:val="00332B6F"/>
    <w:rsid w:val="00332EB8"/>
    <w:rsid w:val="00332EEC"/>
    <w:rsid w:val="00333224"/>
    <w:rsid w:val="0033347C"/>
    <w:rsid w:val="0033347D"/>
    <w:rsid w:val="003339E9"/>
    <w:rsid w:val="00333C22"/>
    <w:rsid w:val="00334311"/>
    <w:rsid w:val="00334F5C"/>
    <w:rsid w:val="00335128"/>
    <w:rsid w:val="00335225"/>
    <w:rsid w:val="00335355"/>
    <w:rsid w:val="00335384"/>
    <w:rsid w:val="0033585A"/>
    <w:rsid w:val="003359D7"/>
    <w:rsid w:val="0033602F"/>
    <w:rsid w:val="0033664C"/>
    <w:rsid w:val="00336DE9"/>
    <w:rsid w:val="00336E51"/>
    <w:rsid w:val="00337294"/>
    <w:rsid w:val="00337380"/>
    <w:rsid w:val="003375B4"/>
    <w:rsid w:val="00337773"/>
    <w:rsid w:val="0033794E"/>
    <w:rsid w:val="00337B3B"/>
    <w:rsid w:val="00337CCF"/>
    <w:rsid w:val="00337E95"/>
    <w:rsid w:val="00337F68"/>
    <w:rsid w:val="003403C0"/>
    <w:rsid w:val="003408AF"/>
    <w:rsid w:val="00340E60"/>
    <w:rsid w:val="003413BF"/>
    <w:rsid w:val="00341570"/>
    <w:rsid w:val="00341B50"/>
    <w:rsid w:val="00342083"/>
    <w:rsid w:val="0034223D"/>
    <w:rsid w:val="00342339"/>
    <w:rsid w:val="003424BD"/>
    <w:rsid w:val="003425AA"/>
    <w:rsid w:val="003427CD"/>
    <w:rsid w:val="00342825"/>
    <w:rsid w:val="003428ED"/>
    <w:rsid w:val="00342B3D"/>
    <w:rsid w:val="00342D21"/>
    <w:rsid w:val="00342D9B"/>
    <w:rsid w:val="0034396E"/>
    <w:rsid w:val="00343C06"/>
    <w:rsid w:val="00344326"/>
    <w:rsid w:val="0034441A"/>
    <w:rsid w:val="00344481"/>
    <w:rsid w:val="0034495A"/>
    <w:rsid w:val="003449A1"/>
    <w:rsid w:val="00344CC6"/>
    <w:rsid w:val="00344DFF"/>
    <w:rsid w:val="00345792"/>
    <w:rsid w:val="00345AEF"/>
    <w:rsid w:val="00345D48"/>
    <w:rsid w:val="00346022"/>
    <w:rsid w:val="00346061"/>
    <w:rsid w:val="003460D6"/>
    <w:rsid w:val="003464C4"/>
    <w:rsid w:val="003468ED"/>
    <w:rsid w:val="00346AAF"/>
    <w:rsid w:val="00346BB5"/>
    <w:rsid w:val="00346C1C"/>
    <w:rsid w:val="003474C3"/>
    <w:rsid w:val="003477CF"/>
    <w:rsid w:val="003477EA"/>
    <w:rsid w:val="00347831"/>
    <w:rsid w:val="0034798C"/>
    <w:rsid w:val="00347B7B"/>
    <w:rsid w:val="00347E98"/>
    <w:rsid w:val="00350D6A"/>
    <w:rsid w:val="003510C5"/>
    <w:rsid w:val="003512E2"/>
    <w:rsid w:val="00351623"/>
    <w:rsid w:val="00351B8D"/>
    <w:rsid w:val="00351F33"/>
    <w:rsid w:val="0035262E"/>
    <w:rsid w:val="00352782"/>
    <w:rsid w:val="003531BB"/>
    <w:rsid w:val="003531E7"/>
    <w:rsid w:val="0035361E"/>
    <w:rsid w:val="00353CFC"/>
    <w:rsid w:val="00354F3C"/>
    <w:rsid w:val="00354FA8"/>
    <w:rsid w:val="00355180"/>
    <w:rsid w:val="0035558A"/>
    <w:rsid w:val="003555D7"/>
    <w:rsid w:val="0035580B"/>
    <w:rsid w:val="003558FB"/>
    <w:rsid w:val="00356001"/>
    <w:rsid w:val="00356034"/>
    <w:rsid w:val="003564D7"/>
    <w:rsid w:val="003564E5"/>
    <w:rsid w:val="00356976"/>
    <w:rsid w:val="00356A70"/>
    <w:rsid w:val="00356AD0"/>
    <w:rsid w:val="00356C7B"/>
    <w:rsid w:val="00356F81"/>
    <w:rsid w:val="00357300"/>
    <w:rsid w:val="003573BB"/>
    <w:rsid w:val="0035780C"/>
    <w:rsid w:val="00357A0B"/>
    <w:rsid w:val="00357DCD"/>
    <w:rsid w:val="00360BD7"/>
    <w:rsid w:val="00360F1B"/>
    <w:rsid w:val="00361174"/>
    <w:rsid w:val="0036133B"/>
    <w:rsid w:val="00361A38"/>
    <w:rsid w:val="00361E0E"/>
    <w:rsid w:val="00362104"/>
    <w:rsid w:val="003622CF"/>
    <w:rsid w:val="003622D5"/>
    <w:rsid w:val="003625F2"/>
    <w:rsid w:val="003627F2"/>
    <w:rsid w:val="0036290A"/>
    <w:rsid w:val="003629FC"/>
    <w:rsid w:val="00362B6F"/>
    <w:rsid w:val="00362FFF"/>
    <w:rsid w:val="003632B2"/>
    <w:rsid w:val="00363640"/>
    <w:rsid w:val="003639BE"/>
    <w:rsid w:val="00363F12"/>
    <w:rsid w:val="0036497D"/>
    <w:rsid w:val="0036519C"/>
    <w:rsid w:val="003651CC"/>
    <w:rsid w:val="00365813"/>
    <w:rsid w:val="0036595D"/>
    <w:rsid w:val="003660EB"/>
    <w:rsid w:val="003662CA"/>
    <w:rsid w:val="0036696D"/>
    <w:rsid w:val="003669D5"/>
    <w:rsid w:val="00366AB4"/>
    <w:rsid w:val="00366BA4"/>
    <w:rsid w:val="00366BD5"/>
    <w:rsid w:val="00366FF7"/>
    <w:rsid w:val="00367086"/>
    <w:rsid w:val="00367CF2"/>
    <w:rsid w:val="00370017"/>
    <w:rsid w:val="00370261"/>
    <w:rsid w:val="0037098C"/>
    <w:rsid w:val="00370A6B"/>
    <w:rsid w:val="00370DBE"/>
    <w:rsid w:val="00371893"/>
    <w:rsid w:val="00371912"/>
    <w:rsid w:val="00371B50"/>
    <w:rsid w:val="00371DB7"/>
    <w:rsid w:val="00371E2F"/>
    <w:rsid w:val="00372167"/>
    <w:rsid w:val="00372691"/>
    <w:rsid w:val="003726A0"/>
    <w:rsid w:val="003727A7"/>
    <w:rsid w:val="00372EB9"/>
    <w:rsid w:val="00373046"/>
    <w:rsid w:val="003730A7"/>
    <w:rsid w:val="00373714"/>
    <w:rsid w:val="003737A9"/>
    <w:rsid w:val="003738C5"/>
    <w:rsid w:val="00374374"/>
    <w:rsid w:val="0037460E"/>
    <w:rsid w:val="0037466D"/>
    <w:rsid w:val="00374C58"/>
    <w:rsid w:val="00374DC3"/>
    <w:rsid w:val="00375286"/>
    <w:rsid w:val="003752AE"/>
    <w:rsid w:val="00375990"/>
    <w:rsid w:val="00375BFE"/>
    <w:rsid w:val="00375D51"/>
    <w:rsid w:val="00375D7A"/>
    <w:rsid w:val="0037604B"/>
    <w:rsid w:val="003763AF"/>
    <w:rsid w:val="0037649D"/>
    <w:rsid w:val="0037666A"/>
    <w:rsid w:val="0037677B"/>
    <w:rsid w:val="0037698B"/>
    <w:rsid w:val="003769FE"/>
    <w:rsid w:val="00376B3B"/>
    <w:rsid w:val="00377153"/>
    <w:rsid w:val="0037724E"/>
    <w:rsid w:val="003772A2"/>
    <w:rsid w:val="00377542"/>
    <w:rsid w:val="003776F2"/>
    <w:rsid w:val="003778A5"/>
    <w:rsid w:val="00377938"/>
    <w:rsid w:val="0038012C"/>
    <w:rsid w:val="003805AC"/>
    <w:rsid w:val="00380D76"/>
    <w:rsid w:val="00380F52"/>
    <w:rsid w:val="003814C9"/>
    <w:rsid w:val="00381828"/>
    <w:rsid w:val="0038191C"/>
    <w:rsid w:val="00381F94"/>
    <w:rsid w:val="00382029"/>
    <w:rsid w:val="003821EE"/>
    <w:rsid w:val="0038255D"/>
    <w:rsid w:val="003826DC"/>
    <w:rsid w:val="00382BE1"/>
    <w:rsid w:val="00382C2F"/>
    <w:rsid w:val="00383646"/>
    <w:rsid w:val="003837B2"/>
    <w:rsid w:val="00383AFF"/>
    <w:rsid w:val="00383B24"/>
    <w:rsid w:val="00383F58"/>
    <w:rsid w:val="0038409C"/>
    <w:rsid w:val="0038419E"/>
    <w:rsid w:val="00384662"/>
    <w:rsid w:val="00384A14"/>
    <w:rsid w:val="00384B4D"/>
    <w:rsid w:val="00384E7E"/>
    <w:rsid w:val="00384FCC"/>
    <w:rsid w:val="0038513A"/>
    <w:rsid w:val="00385141"/>
    <w:rsid w:val="00385269"/>
    <w:rsid w:val="003852AE"/>
    <w:rsid w:val="00385505"/>
    <w:rsid w:val="00385924"/>
    <w:rsid w:val="00385A07"/>
    <w:rsid w:val="00386A07"/>
    <w:rsid w:val="00386C09"/>
    <w:rsid w:val="00386C4D"/>
    <w:rsid w:val="00386E38"/>
    <w:rsid w:val="00387323"/>
    <w:rsid w:val="00387381"/>
    <w:rsid w:val="003876A6"/>
    <w:rsid w:val="0038786F"/>
    <w:rsid w:val="00387889"/>
    <w:rsid w:val="00387BF4"/>
    <w:rsid w:val="00390340"/>
    <w:rsid w:val="00390590"/>
    <w:rsid w:val="003908C7"/>
    <w:rsid w:val="00390AE0"/>
    <w:rsid w:val="003915D4"/>
    <w:rsid w:val="003919E5"/>
    <w:rsid w:val="00391FE1"/>
    <w:rsid w:val="0039232C"/>
    <w:rsid w:val="00392A43"/>
    <w:rsid w:val="00393105"/>
    <w:rsid w:val="00393171"/>
    <w:rsid w:val="00393453"/>
    <w:rsid w:val="00393884"/>
    <w:rsid w:val="00393A8D"/>
    <w:rsid w:val="00393C5D"/>
    <w:rsid w:val="00393D2D"/>
    <w:rsid w:val="003940D6"/>
    <w:rsid w:val="0039446F"/>
    <w:rsid w:val="00394F0A"/>
    <w:rsid w:val="00395422"/>
    <w:rsid w:val="0039597C"/>
    <w:rsid w:val="003959BF"/>
    <w:rsid w:val="00395A41"/>
    <w:rsid w:val="00395D87"/>
    <w:rsid w:val="00396330"/>
    <w:rsid w:val="0039741B"/>
    <w:rsid w:val="00397621"/>
    <w:rsid w:val="003977D6"/>
    <w:rsid w:val="003978C5"/>
    <w:rsid w:val="00397941"/>
    <w:rsid w:val="003979D1"/>
    <w:rsid w:val="00397D67"/>
    <w:rsid w:val="003A03BB"/>
    <w:rsid w:val="003A049A"/>
    <w:rsid w:val="003A0520"/>
    <w:rsid w:val="003A0A77"/>
    <w:rsid w:val="003A1491"/>
    <w:rsid w:val="003A1667"/>
    <w:rsid w:val="003A1751"/>
    <w:rsid w:val="003A19B4"/>
    <w:rsid w:val="003A21CA"/>
    <w:rsid w:val="003A23FB"/>
    <w:rsid w:val="003A2621"/>
    <w:rsid w:val="003A2945"/>
    <w:rsid w:val="003A2E06"/>
    <w:rsid w:val="003A2F2F"/>
    <w:rsid w:val="003A3012"/>
    <w:rsid w:val="003A3926"/>
    <w:rsid w:val="003A3D11"/>
    <w:rsid w:val="003A4034"/>
    <w:rsid w:val="003A463C"/>
    <w:rsid w:val="003A477E"/>
    <w:rsid w:val="003A49F6"/>
    <w:rsid w:val="003A4D7E"/>
    <w:rsid w:val="003A52D8"/>
    <w:rsid w:val="003A53FA"/>
    <w:rsid w:val="003A5915"/>
    <w:rsid w:val="003A5A3A"/>
    <w:rsid w:val="003A5A44"/>
    <w:rsid w:val="003A5A88"/>
    <w:rsid w:val="003A5DCB"/>
    <w:rsid w:val="003A6050"/>
    <w:rsid w:val="003A6182"/>
    <w:rsid w:val="003A650C"/>
    <w:rsid w:val="003A651C"/>
    <w:rsid w:val="003A66DF"/>
    <w:rsid w:val="003A6701"/>
    <w:rsid w:val="003A6C91"/>
    <w:rsid w:val="003A6E84"/>
    <w:rsid w:val="003A7461"/>
    <w:rsid w:val="003A7AC0"/>
    <w:rsid w:val="003A7EA8"/>
    <w:rsid w:val="003B0515"/>
    <w:rsid w:val="003B068C"/>
    <w:rsid w:val="003B06E5"/>
    <w:rsid w:val="003B0BD5"/>
    <w:rsid w:val="003B1418"/>
    <w:rsid w:val="003B1424"/>
    <w:rsid w:val="003B15D2"/>
    <w:rsid w:val="003B1CFA"/>
    <w:rsid w:val="003B1D68"/>
    <w:rsid w:val="003B2C8A"/>
    <w:rsid w:val="003B2F52"/>
    <w:rsid w:val="003B3051"/>
    <w:rsid w:val="003B3557"/>
    <w:rsid w:val="003B35CC"/>
    <w:rsid w:val="003B3A74"/>
    <w:rsid w:val="003B3B73"/>
    <w:rsid w:val="003B40C3"/>
    <w:rsid w:val="003B4273"/>
    <w:rsid w:val="003B4D3C"/>
    <w:rsid w:val="003B4F11"/>
    <w:rsid w:val="003B519E"/>
    <w:rsid w:val="003B540A"/>
    <w:rsid w:val="003B567F"/>
    <w:rsid w:val="003B56A7"/>
    <w:rsid w:val="003B5DD3"/>
    <w:rsid w:val="003B6027"/>
    <w:rsid w:val="003B6131"/>
    <w:rsid w:val="003B6705"/>
    <w:rsid w:val="003B6767"/>
    <w:rsid w:val="003B7204"/>
    <w:rsid w:val="003B7383"/>
    <w:rsid w:val="003B7A88"/>
    <w:rsid w:val="003C018F"/>
    <w:rsid w:val="003C089F"/>
    <w:rsid w:val="003C0C4C"/>
    <w:rsid w:val="003C0C8F"/>
    <w:rsid w:val="003C0DBA"/>
    <w:rsid w:val="003C15DB"/>
    <w:rsid w:val="003C193A"/>
    <w:rsid w:val="003C1956"/>
    <w:rsid w:val="003C1973"/>
    <w:rsid w:val="003C1B2F"/>
    <w:rsid w:val="003C2033"/>
    <w:rsid w:val="003C2047"/>
    <w:rsid w:val="003C2811"/>
    <w:rsid w:val="003C2DD2"/>
    <w:rsid w:val="003C2F42"/>
    <w:rsid w:val="003C2FB6"/>
    <w:rsid w:val="003C3045"/>
    <w:rsid w:val="003C33AF"/>
    <w:rsid w:val="003C3483"/>
    <w:rsid w:val="003C38BE"/>
    <w:rsid w:val="003C3B4D"/>
    <w:rsid w:val="003C3E3C"/>
    <w:rsid w:val="003C3F53"/>
    <w:rsid w:val="003C402B"/>
    <w:rsid w:val="003C403E"/>
    <w:rsid w:val="003C4091"/>
    <w:rsid w:val="003C410E"/>
    <w:rsid w:val="003C46E5"/>
    <w:rsid w:val="003C478C"/>
    <w:rsid w:val="003C4B97"/>
    <w:rsid w:val="003C4F5C"/>
    <w:rsid w:val="003C50A3"/>
    <w:rsid w:val="003C50B3"/>
    <w:rsid w:val="003C50C0"/>
    <w:rsid w:val="003C55C2"/>
    <w:rsid w:val="003C59EB"/>
    <w:rsid w:val="003C5C7D"/>
    <w:rsid w:val="003C64C3"/>
    <w:rsid w:val="003C6BA0"/>
    <w:rsid w:val="003C6EB0"/>
    <w:rsid w:val="003C6F35"/>
    <w:rsid w:val="003C70D9"/>
    <w:rsid w:val="003C7364"/>
    <w:rsid w:val="003C74D6"/>
    <w:rsid w:val="003C7C4E"/>
    <w:rsid w:val="003C7EF6"/>
    <w:rsid w:val="003D0096"/>
    <w:rsid w:val="003D03DC"/>
    <w:rsid w:val="003D06AA"/>
    <w:rsid w:val="003D0C73"/>
    <w:rsid w:val="003D19A9"/>
    <w:rsid w:val="003D19C0"/>
    <w:rsid w:val="003D1DA3"/>
    <w:rsid w:val="003D1E17"/>
    <w:rsid w:val="003D1FDD"/>
    <w:rsid w:val="003D2685"/>
    <w:rsid w:val="003D27D2"/>
    <w:rsid w:val="003D2A7B"/>
    <w:rsid w:val="003D2AA3"/>
    <w:rsid w:val="003D3500"/>
    <w:rsid w:val="003D3655"/>
    <w:rsid w:val="003D36E3"/>
    <w:rsid w:val="003D37CA"/>
    <w:rsid w:val="003D401B"/>
    <w:rsid w:val="003D427F"/>
    <w:rsid w:val="003D4808"/>
    <w:rsid w:val="003D498D"/>
    <w:rsid w:val="003D4D27"/>
    <w:rsid w:val="003D551B"/>
    <w:rsid w:val="003D59F9"/>
    <w:rsid w:val="003D5D38"/>
    <w:rsid w:val="003D5EDF"/>
    <w:rsid w:val="003D655B"/>
    <w:rsid w:val="003D6737"/>
    <w:rsid w:val="003D6F19"/>
    <w:rsid w:val="003D7410"/>
    <w:rsid w:val="003D7705"/>
    <w:rsid w:val="003D7897"/>
    <w:rsid w:val="003D7A53"/>
    <w:rsid w:val="003D7C53"/>
    <w:rsid w:val="003D7D7D"/>
    <w:rsid w:val="003D7EDF"/>
    <w:rsid w:val="003D7FB3"/>
    <w:rsid w:val="003D7FE9"/>
    <w:rsid w:val="003E0676"/>
    <w:rsid w:val="003E07DB"/>
    <w:rsid w:val="003E0847"/>
    <w:rsid w:val="003E091E"/>
    <w:rsid w:val="003E1201"/>
    <w:rsid w:val="003E17F2"/>
    <w:rsid w:val="003E1840"/>
    <w:rsid w:val="003E1A3B"/>
    <w:rsid w:val="003E1A83"/>
    <w:rsid w:val="003E1CC6"/>
    <w:rsid w:val="003E1CE5"/>
    <w:rsid w:val="003E1D08"/>
    <w:rsid w:val="003E1D0A"/>
    <w:rsid w:val="003E28D3"/>
    <w:rsid w:val="003E28E2"/>
    <w:rsid w:val="003E2969"/>
    <w:rsid w:val="003E2E4C"/>
    <w:rsid w:val="003E2EA7"/>
    <w:rsid w:val="003E31CA"/>
    <w:rsid w:val="003E3C3D"/>
    <w:rsid w:val="003E3D44"/>
    <w:rsid w:val="003E4006"/>
    <w:rsid w:val="003E4365"/>
    <w:rsid w:val="003E55B1"/>
    <w:rsid w:val="003E5689"/>
    <w:rsid w:val="003E56D7"/>
    <w:rsid w:val="003E610C"/>
    <w:rsid w:val="003E6128"/>
    <w:rsid w:val="003E6759"/>
    <w:rsid w:val="003E6A2F"/>
    <w:rsid w:val="003E6A7D"/>
    <w:rsid w:val="003E7304"/>
    <w:rsid w:val="003E7462"/>
    <w:rsid w:val="003E767E"/>
    <w:rsid w:val="003E7D61"/>
    <w:rsid w:val="003E7F41"/>
    <w:rsid w:val="003F00AC"/>
    <w:rsid w:val="003F026B"/>
    <w:rsid w:val="003F0284"/>
    <w:rsid w:val="003F0295"/>
    <w:rsid w:val="003F036F"/>
    <w:rsid w:val="003F0850"/>
    <w:rsid w:val="003F10EF"/>
    <w:rsid w:val="003F12BA"/>
    <w:rsid w:val="003F1722"/>
    <w:rsid w:val="003F191C"/>
    <w:rsid w:val="003F1943"/>
    <w:rsid w:val="003F19B9"/>
    <w:rsid w:val="003F1C6B"/>
    <w:rsid w:val="003F21D9"/>
    <w:rsid w:val="003F244A"/>
    <w:rsid w:val="003F2D6A"/>
    <w:rsid w:val="003F2DAC"/>
    <w:rsid w:val="003F2FDC"/>
    <w:rsid w:val="003F3074"/>
    <w:rsid w:val="003F330D"/>
    <w:rsid w:val="003F33C2"/>
    <w:rsid w:val="003F38B1"/>
    <w:rsid w:val="003F3B07"/>
    <w:rsid w:val="003F3BCE"/>
    <w:rsid w:val="003F499B"/>
    <w:rsid w:val="003F499C"/>
    <w:rsid w:val="003F4CBC"/>
    <w:rsid w:val="003F4D5B"/>
    <w:rsid w:val="003F5490"/>
    <w:rsid w:val="003F5A07"/>
    <w:rsid w:val="003F5A38"/>
    <w:rsid w:val="003F5A9B"/>
    <w:rsid w:val="003F5AE8"/>
    <w:rsid w:val="003F5CAA"/>
    <w:rsid w:val="003F5DF0"/>
    <w:rsid w:val="003F60A3"/>
    <w:rsid w:val="003F60EF"/>
    <w:rsid w:val="003F6169"/>
    <w:rsid w:val="003F61D9"/>
    <w:rsid w:val="003F6331"/>
    <w:rsid w:val="003F677C"/>
    <w:rsid w:val="003F6B4E"/>
    <w:rsid w:val="003F6B6C"/>
    <w:rsid w:val="003F6D33"/>
    <w:rsid w:val="003F6FEC"/>
    <w:rsid w:val="003F702A"/>
    <w:rsid w:val="003F748E"/>
    <w:rsid w:val="003F77B1"/>
    <w:rsid w:val="003F7A8A"/>
    <w:rsid w:val="003F7D35"/>
    <w:rsid w:val="003F7DDF"/>
    <w:rsid w:val="004000C9"/>
    <w:rsid w:val="0040055F"/>
    <w:rsid w:val="004007F1"/>
    <w:rsid w:val="0040081E"/>
    <w:rsid w:val="00400841"/>
    <w:rsid w:val="00400877"/>
    <w:rsid w:val="00400CA6"/>
    <w:rsid w:val="0040139D"/>
    <w:rsid w:val="0040146B"/>
    <w:rsid w:val="004016F8"/>
    <w:rsid w:val="00401BDB"/>
    <w:rsid w:val="00401FC0"/>
    <w:rsid w:val="004020CD"/>
    <w:rsid w:val="004021B2"/>
    <w:rsid w:val="00402A08"/>
    <w:rsid w:val="00402A0F"/>
    <w:rsid w:val="00402B79"/>
    <w:rsid w:val="00402BFB"/>
    <w:rsid w:val="00403370"/>
    <w:rsid w:val="0040358F"/>
    <w:rsid w:val="00403880"/>
    <w:rsid w:val="00403A90"/>
    <w:rsid w:val="00403DE2"/>
    <w:rsid w:val="00403F06"/>
    <w:rsid w:val="00404138"/>
    <w:rsid w:val="004041B4"/>
    <w:rsid w:val="00404260"/>
    <w:rsid w:val="00404404"/>
    <w:rsid w:val="004044C3"/>
    <w:rsid w:val="0040466A"/>
    <w:rsid w:val="0040473E"/>
    <w:rsid w:val="004047E6"/>
    <w:rsid w:val="00404C0E"/>
    <w:rsid w:val="0040501D"/>
    <w:rsid w:val="0040554F"/>
    <w:rsid w:val="0040583C"/>
    <w:rsid w:val="004060F2"/>
    <w:rsid w:val="004061E0"/>
    <w:rsid w:val="00406347"/>
    <w:rsid w:val="00406461"/>
    <w:rsid w:val="004064C6"/>
    <w:rsid w:val="00406C7B"/>
    <w:rsid w:val="004070FD"/>
    <w:rsid w:val="004074AD"/>
    <w:rsid w:val="004076AC"/>
    <w:rsid w:val="00407ABB"/>
    <w:rsid w:val="00410088"/>
    <w:rsid w:val="00410168"/>
    <w:rsid w:val="0041081F"/>
    <w:rsid w:val="00410842"/>
    <w:rsid w:val="00410CE3"/>
    <w:rsid w:val="00410F80"/>
    <w:rsid w:val="00411099"/>
    <w:rsid w:val="0041126E"/>
    <w:rsid w:val="004114BF"/>
    <w:rsid w:val="0041219C"/>
    <w:rsid w:val="00412317"/>
    <w:rsid w:val="0041243F"/>
    <w:rsid w:val="00412545"/>
    <w:rsid w:val="00412CBB"/>
    <w:rsid w:val="00412D0C"/>
    <w:rsid w:val="00412F37"/>
    <w:rsid w:val="00413E2F"/>
    <w:rsid w:val="004143EA"/>
    <w:rsid w:val="00414DB1"/>
    <w:rsid w:val="00415066"/>
    <w:rsid w:val="00415495"/>
    <w:rsid w:val="00416F88"/>
    <w:rsid w:val="004173EC"/>
    <w:rsid w:val="00417667"/>
    <w:rsid w:val="0041785B"/>
    <w:rsid w:val="00417CAF"/>
    <w:rsid w:val="00417DC8"/>
    <w:rsid w:val="00417E58"/>
    <w:rsid w:val="00417ED3"/>
    <w:rsid w:val="00420125"/>
    <w:rsid w:val="00420178"/>
    <w:rsid w:val="004204C6"/>
    <w:rsid w:val="00421252"/>
    <w:rsid w:val="00421403"/>
    <w:rsid w:val="004216F7"/>
    <w:rsid w:val="0042184C"/>
    <w:rsid w:val="00422025"/>
    <w:rsid w:val="004221F2"/>
    <w:rsid w:val="00422C4B"/>
    <w:rsid w:val="00422DE7"/>
    <w:rsid w:val="004232B5"/>
    <w:rsid w:val="004233A7"/>
    <w:rsid w:val="0042380C"/>
    <w:rsid w:val="00423FA0"/>
    <w:rsid w:val="00423FAE"/>
    <w:rsid w:val="0042440B"/>
    <w:rsid w:val="004244AD"/>
    <w:rsid w:val="004245BB"/>
    <w:rsid w:val="004245BC"/>
    <w:rsid w:val="00424880"/>
    <w:rsid w:val="00424956"/>
    <w:rsid w:val="0042495B"/>
    <w:rsid w:val="0042537E"/>
    <w:rsid w:val="004255E7"/>
    <w:rsid w:val="00425784"/>
    <w:rsid w:val="004258CA"/>
    <w:rsid w:val="00425A67"/>
    <w:rsid w:val="0042638D"/>
    <w:rsid w:val="00426615"/>
    <w:rsid w:val="00426822"/>
    <w:rsid w:val="004271F3"/>
    <w:rsid w:val="00427399"/>
    <w:rsid w:val="00427691"/>
    <w:rsid w:val="00427AAB"/>
    <w:rsid w:val="00427AC0"/>
    <w:rsid w:val="00427D9C"/>
    <w:rsid w:val="00427E1F"/>
    <w:rsid w:val="00430274"/>
    <w:rsid w:val="0043062A"/>
    <w:rsid w:val="00430928"/>
    <w:rsid w:val="00430A05"/>
    <w:rsid w:val="00430C9C"/>
    <w:rsid w:val="0043189F"/>
    <w:rsid w:val="00431927"/>
    <w:rsid w:val="0043199C"/>
    <w:rsid w:val="00431A1A"/>
    <w:rsid w:val="00431A21"/>
    <w:rsid w:val="004323AA"/>
    <w:rsid w:val="004328DC"/>
    <w:rsid w:val="00432BEF"/>
    <w:rsid w:val="00432CC6"/>
    <w:rsid w:val="00432E9A"/>
    <w:rsid w:val="0043312F"/>
    <w:rsid w:val="00433701"/>
    <w:rsid w:val="00433BA5"/>
    <w:rsid w:val="00433F23"/>
    <w:rsid w:val="004344AE"/>
    <w:rsid w:val="004344FB"/>
    <w:rsid w:val="00434723"/>
    <w:rsid w:val="0043474A"/>
    <w:rsid w:val="00434CC3"/>
    <w:rsid w:val="00435584"/>
    <w:rsid w:val="00435871"/>
    <w:rsid w:val="00435992"/>
    <w:rsid w:val="004359D0"/>
    <w:rsid w:val="00435BEC"/>
    <w:rsid w:val="00436676"/>
    <w:rsid w:val="004369BD"/>
    <w:rsid w:val="00436B99"/>
    <w:rsid w:val="00436E51"/>
    <w:rsid w:val="004373B6"/>
    <w:rsid w:val="00437808"/>
    <w:rsid w:val="004379FE"/>
    <w:rsid w:val="00437D29"/>
    <w:rsid w:val="00437DC6"/>
    <w:rsid w:val="0044053E"/>
    <w:rsid w:val="0044081A"/>
    <w:rsid w:val="00440954"/>
    <w:rsid w:val="00440A0C"/>
    <w:rsid w:val="00440EC0"/>
    <w:rsid w:val="004415F9"/>
    <w:rsid w:val="004417FD"/>
    <w:rsid w:val="00441816"/>
    <w:rsid w:val="00441D39"/>
    <w:rsid w:val="00441FFB"/>
    <w:rsid w:val="0044227B"/>
    <w:rsid w:val="00442290"/>
    <w:rsid w:val="004424A2"/>
    <w:rsid w:val="004424B1"/>
    <w:rsid w:val="00442BE4"/>
    <w:rsid w:val="00442C89"/>
    <w:rsid w:val="00442CF6"/>
    <w:rsid w:val="00442F25"/>
    <w:rsid w:val="004430AA"/>
    <w:rsid w:val="00443690"/>
    <w:rsid w:val="00443C25"/>
    <w:rsid w:val="00443E81"/>
    <w:rsid w:val="00443F90"/>
    <w:rsid w:val="00444266"/>
    <w:rsid w:val="004450D8"/>
    <w:rsid w:val="00445F93"/>
    <w:rsid w:val="0044608E"/>
    <w:rsid w:val="0044616C"/>
    <w:rsid w:val="0044628B"/>
    <w:rsid w:val="004462C7"/>
    <w:rsid w:val="00446317"/>
    <w:rsid w:val="00446397"/>
    <w:rsid w:val="0044659B"/>
    <w:rsid w:val="0044663D"/>
    <w:rsid w:val="00446D40"/>
    <w:rsid w:val="00446E97"/>
    <w:rsid w:val="004474FC"/>
    <w:rsid w:val="0044755D"/>
    <w:rsid w:val="00447A1F"/>
    <w:rsid w:val="00447A2A"/>
    <w:rsid w:val="00447AD2"/>
    <w:rsid w:val="00447D54"/>
    <w:rsid w:val="00447EF3"/>
    <w:rsid w:val="00447F99"/>
    <w:rsid w:val="00447F9D"/>
    <w:rsid w:val="0045013F"/>
    <w:rsid w:val="00450247"/>
    <w:rsid w:val="0045042E"/>
    <w:rsid w:val="004507D6"/>
    <w:rsid w:val="00450A70"/>
    <w:rsid w:val="00450F67"/>
    <w:rsid w:val="004512D7"/>
    <w:rsid w:val="004513B5"/>
    <w:rsid w:val="0045152C"/>
    <w:rsid w:val="00451DF7"/>
    <w:rsid w:val="004520B6"/>
    <w:rsid w:val="00452178"/>
    <w:rsid w:val="004522D2"/>
    <w:rsid w:val="00452624"/>
    <w:rsid w:val="00452C79"/>
    <w:rsid w:val="00452F35"/>
    <w:rsid w:val="00453066"/>
    <w:rsid w:val="00453069"/>
    <w:rsid w:val="004531EA"/>
    <w:rsid w:val="0045333E"/>
    <w:rsid w:val="004534A3"/>
    <w:rsid w:val="0045362D"/>
    <w:rsid w:val="004537A2"/>
    <w:rsid w:val="00453A16"/>
    <w:rsid w:val="00454608"/>
    <w:rsid w:val="0045522A"/>
    <w:rsid w:val="004553EF"/>
    <w:rsid w:val="0045544D"/>
    <w:rsid w:val="00455714"/>
    <w:rsid w:val="00455721"/>
    <w:rsid w:val="004557D5"/>
    <w:rsid w:val="00455E20"/>
    <w:rsid w:val="00456257"/>
    <w:rsid w:val="0045639E"/>
    <w:rsid w:val="00456455"/>
    <w:rsid w:val="004564A8"/>
    <w:rsid w:val="00456D63"/>
    <w:rsid w:val="0045745E"/>
    <w:rsid w:val="00457617"/>
    <w:rsid w:val="00457A2F"/>
    <w:rsid w:val="00457E21"/>
    <w:rsid w:val="004601F6"/>
    <w:rsid w:val="00460261"/>
    <w:rsid w:val="004602F3"/>
    <w:rsid w:val="004603B7"/>
    <w:rsid w:val="004605BD"/>
    <w:rsid w:val="004609D5"/>
    <w:rsid w:val="00460F69"/>
    <w:rsid w:val="00461108"/>
    <w:rsid w:val="0046123D"/>
    <w:rsid w:val="004615E9"/>
    <w:rsid w:val="00461B3B"/>
    <w:rsid w:val="00461BE7"/>
    <w:rsid w:val="00461D79"/>
    <w:rsid w:val="00461EC6"/>
    <w:rsid w:val="00462184"/>
    <w:rsid w:val="004621E5"/>
    <w:rsid w:val="00462294"/>
    <w:rsid w:val="00462559"/>
    <w:rsid w:val="00462798"/>
    <w:rsid w:val="00462ACC"/>
    <w:rsid w:val="00462D2F"/>
    <w:rsid w:val="00463186"/>
    <w:rsid w:val="004635FD"/>
    <w:rsid w:val="00463997"/>
    <w:rsid w:val="00463C3C"/>
    <w:rsid w:val="00463CC2"/>
    <w:rsid w:val="00463F3A"/>
    <w:rsid w:val="0046472C"/>
    <w:rsid w:val="00464B55"/>
    <w:rsid w:val="00465512"/>
    <w:rsid w:val="00465B04"/>
    <w:rsid w:val="0046626C"/>
    <w:rsid w:val="0046628F"/>
    <w:rsid w:val="00466415"/>
    <w:rsid w:val="004667F4"/>
    <w:rsid w:val="00466869"/>
    <w:rsid w:val="004669BF"/>
    <w:rsid w:val="00467349"/>
    <w:rsid w:val="004674B8"/>
    <w:rsid w:val="0046750D"/>
    <w:rsid w:val="00467649"/>
    <w:rsid w:val="0046780A"/>
    <w:rsid w:val="00467C09"/>
    <w:rsid w:val="00470018"/>
    <w:rsid w:val="004707FC"/>
    <w:rsid w:val="00470822"/>
    <w:rsid w:val="00470B40"/>
    <w:rsid w:val="00470D2F"/>
    <w:rsid w:val="004712C8"/>
    <w:rsid w:val="00471972"/>
    <w:rsid w:val="0047197F"/>
    <w:rsid w:val="00471F68"/>
    <w:rsid w:val="0047223F"/>
    <w:rsid w:val="004726E2"/>
    <w:rsid w:val="00472E5F"/>
    <w:rsid w:val="00472F09"/>
    <w:rsid w:val="0047326B"/>
    <w:rsid w:val="00473440"/>
    <w:rsid w:val="00473487"/>
    <w:rsid w:val="00473535"/>
    <w:rsid w:val="004736B6"/>
    <w:rsid w:val="00473C8A"/>
    <w:rsid w:val="00473FD5"/>
    <w:rsid w:val="0047459F"/>
    <w:rsid w:val="00474971"/>
    <w:rsid w:val="00474A8C"/>
    <w:rsid w:val="00474B0E"/>
    <w:rsid w:val="00474FC5"/>
    <w:rsid w:val="0047517D"/>
    <w:rsid w:val="004752F8"/>
    <w:rsid w:val="004753A1"/>
    <w:rsid w:val="0047554C"/>
    <w:rsid w:val="004756D4"/>
    <w:rsid w:val="0047575A"/>
    <w:rsid w:val="004757E4"/>
    <w:rsid w:val="00475AF4"/>
    <w:rsid w:val="00475EAA"/>
    <w:rsid w:val="00476352"/>
    <w:rsid w:val="00476CAA"/>
    <w:rsid w:val="00477362"/>
    <w:rsid w:val="00477978"/>
    <w:rsid w:val="00477DB5"/>
    <w:rsid w:val="00480041"/>
    <w:rsid w:val="004803BD"/>
    <w:rsid w:val="00480544"/>
    <w:rsid w:val="004805B0"/>
    <w:rsid w:val="00480609"/>
    <w:rsid w:val="004807A0"/>
    <w:rsid w:val="004808A4"/>
    <w:rsid w:val="00480928"/>
    <w:rsid w:val="00480F03"/>
    <w:rsid w:val="004810D6"/>
    <w:rsid w:val="0048138D"/>
    <w:rsid w:val="0048150A"/>
    <w:rsid w:val="00481654"/>
    <w:rsid w:val="00482124"/>
    <w:rsid w:val="00482B1A"/>
    <w:rsid w:val="00482CFC"/>
    <w:rsid w:val="00482DA9"/>
    <w:rsid w:val="00482E37"/>
    <w:rsid w:val="00483240"/>
    <w:rsid w:val="004835ED"/>
    <w:rsid w:val="00483B88"/>
    <w:rsid w:val="00483CC3"/>
    <w:rsid w:val="00483D0B"/>
    <w:rsid w:val="00484021"/>
    <w:rsid w:val="0048415E"/>
    <w:rsid w:val="004841B6"/>
    <w:rsid w:val="00484249"/>
    <w:rsid w:val="004842DF"/>
    <w:rsid w:val="004843BD"/>
    <w:rsid w:val="00484569"/>
    <w:rsid w:val="00484B7C"/>
    <w:rsid w:val="00485228"/>
    <w:rsid w:val="00485601"/>
    <w:rsid w:val="004858D9"/>
    <w:rsid w:val="00485BFB"/>
    <w:rsid w:val="00485EE8"/>
    <w:rsid w:val="00485FBC"/>
    <w:rsid w:val="00486413"/>
    <w:rsid w:val="004864BD"/>
    <w:rsid w:val="00486A45"/>
    <w:rsid w:val="00486C25"/>
    <w:rsid w:val="00486FD0"/>
    <w:rsid w:val="004876AF"/>
    <w:rsid w:val="00487CE5"/>
    <w:rsid w:val="00487F99"/>
    <w:rsid w:val="004900C5"/>
    <w:rsid w:val="004900E0"/>
    <w:rsid w:val="004901F2"/>
    <w:rsid w:val="004902C8"/>
    <w:rsid w:val="0049032B"/>
    <w:rsid w:val="00490345"/>
    <w:rsid w:val="004903F9"/>
    <w:rsid w:val="00490478"/>
    <w:rsid w:val="00490922"/>
    <w:rsid w:val="00490AEC"/>
    <w:rsid w:val="00490EEC"/>
    <w:rsid w:val="00490F59"/>
    <w:rsid w:val="004911ED"/>
    <w:rsid w:val="0049123D"/>
    <w:rsid w:val="00491297"/>
    <w:rsid w:val="00491831"/>
    <w:rsid w:val="00491F3F"/>
    <w:rsid w:val="00492015"/>
    <w:rsid w:val="004921A3"/>
    <w:rsid w:val="004923B0"/>
    <w:rsid w:val="00492A25"/>
    <w:rsid w:val="0049326E"/>
    <w:rsid w:val="00493B8E"/>
    <w:rsid w:val="004940D7"/>
    <w:rsid w:val="004942FE"/>
    <w:rsid w:val="004946BE"/>
    <w:rsid w:val="004949E7"/>
    <w:rsid w:val="00494A0E"/>
    <w:rsid w:val="00495064"/>
    <w:rsid w:val="0049547C"/>
    <w:rsid w:val="0049549F"/>
    <w:rsid w:val="004955CF"/>
    <w:rsid w:val="004958E6"/>
    <w:rsid w:val="00495A33"/>
    <w:rsid w:val="00495F1C"/>
    <w:rsid w:val="00496669"/>
    <w:rsid w:val="004968CB"/>
    <w:rsid w:val="00496A03"/>
    <w:rsid w:val="00496B29"/>
    <w:rsid w:val="00497209"/>
    <w:rsid w:val="004975A5"/>
    <w:rsid w:val="00497E1C"/>
    <w:rsid w:val="00497F1D"/>
    <w:rsid w:val="00497F45"/>
    <w:rsid w:val="004A04C2"/>
    <w:rsid w:val="004A0582"/>
    <w:rsid w:val="004A0718"/>
    <w:rsid w:val="004A0AA4"/>
    <w:rsid w:val="004A0B80"/>
    <w:rsid w:val="004A0CF1"/>
    <w:rsid w:val="004A0D44"/>
    <w:rsid w:val="004A0E2D"/>
    <w:rsid w:val="004A14A5"/>
    <w:rsid w:val="004A1DA1"/>
    <w:rsid w:val="004A24FA"/>
    <w:rsid w:val="004A280B"/>
    <w:rsid w:val="004A29CC"/>
    <w:rsid w:val="004A2A77"/>
    <w:rsid w:val="004A2C3F"/>
    <w:rsid w:val="004A2C89"/>
    <w:rsid w:val="004A2CB0"/>
    <w:rsid w:val="004A302F"/>
    <w:rsid w:val="004A314E"/>
    <w:rsid w:val="004A3371"/>
    <w:rsid w:val="004A33CF"/>
    <w:rsid w:val="004A37DE"/>
    <w:rsid w:val="004A3CB5"/>
    <w:rsid w:val="004A3D16"/>
    <w:rsid w:val="004A40BD"/>
    <w:rsid w:val="004A4527"/>
    <w:rsid w:val="004A4BE0"/>
    <w:rsid w:val="004A4CF1"/>
    <w:rsid w:val="004A4EA4"/>
    <w:rsid w:val="004A4EFD"/>
    <w:rsid w:val="004A5016"/>
    <w:rsid w:val="004A5284"/>
    <w:rsid w:val="004A5454"/>
    <w:rsid w:val="004A58B5"/>
    <w:rsid w:val="004A5BE0"/>
    <w:rsid w:val="004A6314"/>
    <w:rsid w:val="004A771E"/>
    <w:rsid w:val="004A7874"/>
    <w:rsid w:val="004A7C08"/>
    <w:rsid w:val="004A7D61"/>
    <w:rsid w:val="004A7ED9"/>
    <w:rsid w:val="004B010B"/>
    <w:rsid w:val="004B0114"/>
    <w:rsid w:val="004B06DF"/>
    <w:rsid w:val="004B07F2"/>
    <w:rsid w:val="004B0BCD"/>
    <w:rsid w:val="004B12D9"/>
    <w:rsid w:val="004B1C3E"/>
    <w:rsid w:val="004B1C87"/>
    <w:rsid w:val="004B201D"/>
    <w:rsid w:val="004B2075"/>
    <w:rsid w:val="004B213A"/>
    <w:rsid w:val="004B2C83"/>
    <w:rsid w:val="004B39EB"/>
    <w:rsid w:val="004B4185"/>
    <w:rsid w:val="004B43A6"/>
    <w:rsid w:val="004B47B2"/>
    <w:rsid w:val="004B49C4"/>
    <w:rsid w:val="004B49EE"/>
    <w:rsid w:val="004B4E74"/>
    <w:rsid w:val="004B504D"/>
    <w:rsid w:val="004B52FF"/>
    <w:rsid w:val="004B57FC"/>
    <w:rsid w:val="004B59E1"/>
    <w:rsid w:val="004B5C9A"/>
    <w:rsid w:val="004B5D14"/>
    <w:rsid w:val="004B5F04"/>
    <w:rsid w:val="004B645C"/>
    <w:rsid w:val="004B6904"/>
    <w:rsid w:val="004B6BBA"/>
    <w:rsid w:val="004B6C9B"/>
    <w:rsid w:val="004B6CB1"/>
    <w:rsid w:val="004B6FE0"/>
    <w:rsid w:val="004B723C"/>
    <w:rsid w:val="004B72DA"/>
    <w:rsid w:val="004B7445"/>
    <w:rsid w:val="004B7679"/>
    <w:rsid w:val="004B76E9"/>
    <w:rsid w:val="004C0225"/>
    <w:rsid w:val="004C04FA"/>
    <w:rsid w:val="004C0633"/>
    <w:rsid w:val="004C0D1B"/>
    <w:rsid w:val="004C1087"/>
    <w:rsid w:val="004C10EB"/>
    <w:rsid w:val="004C11D7"/>
    <w:rsid w:val="004C1383"/>
    <w:rsid w:val="004C15C1"/>
    <w:rsid w:val="004C15CA"/>
    <w:rsid w:val="004C15DA"/>
    <w:rsid w:val="004C1627"/>
    <w:rsid w:val="004C16B0"/>
    <w:rsid w:val="004C1727"/>
    <w:rsid w:val="004C1AD6"/>
    <w:rsid w:val="004C1B77"/>
    <w:rsid w:val="004C28FF"/>
    <w:rsid w:val="004C2B8A"/>
    <w:rsid w:val="004C2BF9"/>
    <w:rsid w:val="004C2F76"/>
    <w:rsid w:val="004C3310"/>
    <w:rsid w:val="004C3BC2"/>
    <w:rsid w:val="004C3CF8"/>
    <w:rsid w:val="004C3D28"/>
    <w:rsid w:val="004C4100"/>
    <w:rsid w:val="004C451D"/>
    <w:rsid w:val="004C494E"/>
    <w:rsid w:val="004C4992"/>
    <w:rsid w:val="004C4B9E"/>
    <w:rsid w:val="004C4D34"/>
    <w:rsid w:val="004C53B2"/>
    <w:rsid w:val="004C5A25"/>
    <w:rsid w:val="004C5EC0"/>
    <w:rsid w:val="004C6235"/>
    <w:rsid w:val="004C632F"/>
    <w:rsid w:val="004C667B"/>
    <w:rsid w:val="004C713A"/>
    <w:rsid w:val="004C7262"/>
    <w:rsid w:val="004C7BE9"/>
    <w:rsid w:val="004C7C75"/>
    <w:rsid w:val="004C7D9D"/>
    <w:rsid w:val="004C7F9F"/>
    <w:rsid w:val="004D0087"/>
    <w:rsid w:val="004D01D6"/>
    <w:rsid w:val="004D032A"/>
    <w:rsid w:val="004D03DD"/>
    <w:rsid w:val="004D041A"/>
    <w:rsid w:val="004D04B2"/>
    <w:rsid w:val="004D0718"/>
    <w:rsid w:val="004D0DF4"/>
    <w:rsid w:val="004D0EAA"/>
    <w:rsid w:val="004D1133"/>
    <w:rsid w:val="004D1345"/>
    <w:rsid w:val="004D15BA"/>
    <w:rsid w:val="004D186E"/>
    <w:rsid w:val="004D1B7C"/>
    <w:rsid w:val="004D1ECC"/>
    <w:rsid w:val="004D26A9"/>
    <w:rsid w:val="004D2816"/>
    <w:rsid w:val="004D2B50"/>
    <w:rsid w:val="004D2CCE"/>
    <w:rsid w:val="004D317C"/>
    <w:rsid w:val="004D3370"/>
    <w:rsid w:val="004D33B7"/>
    <w:rsid w:val="004D351E"/>
    <w:rsid w:val="004D35BA"/>
    <w:rsid w:val="004D3829"/>
    <w:rsid w:val="004D3948"/>
    <w:rsid w:val="004D3AA0"/>
    <w:rsid w:val="004D3E7C"/>
    <w:rsid w:val="004D4329"/>
    <w:rsid w:val="004D4331"/>
    <w:rsid w:val="004D474B"/>
    <w:rsid w:val="004D4F66"/>
    <w:rsid w:val="004D4FBC"/>
    <w:rsid w:val="004D5142"/>
    <w:rsid w:val="004D5193"/>
    <w:rsid w:val="004D5462"/>
    <w:rsid w:val="004D55BA"/>
    <w:rsid w:val="004D56A5"/>
    <w:rsid w:val="004D588E"/>
    <w:rsid w:val="004D59CA"/>
    <w:rsid w:val="004D5A75"/>
    <w:rsid w:val="004D5B20"/>
    <w:rsid w:val="004D5BDA"/>
    <w:rsid w:val="004D5C81"/>
    <w:rsid w:val="004D5CA2"/>
    <w:rsid w:val="004D62B3"/>
    <w:rsid w:val="004D6585"/>
    <w:rsid w:val="004D6721"/>
    <w:rsid w:val="004D68DE"/>
    <w:rsid w:val="004D6B64"/>
    <w:rsid w:val="004D6D52"/>
    <w:rsid w:val="004D6E59"/>
    <w:rsid w:val="004D744A"/>
    <w:rsid w:val="004D75DD"/>
    <w:rsid w:val="004D78A9"/>
    <w:rsid w:val="004D79CF"/>
    <w:rsid w:val="004E0534"/>
    <w:rsid w:val="004E0714"/>
    <w:rsid w:val="004E0A33"/>
    <w:rsid w:val="004E0D18"/>
    <w:rsid w:val="004E13FF"/>
    <w:rsid w:val="004E160E"/>
    <w:rsid w:val="004E1625"/>
    <w:rsid w:val="004E1681"/>
    <w:rsid w:val="004E1F3C"/>
    <w:rsid w:val="004E1FF2"/>
    <w:rsid w:val="004E225F"/>
    <w:rsid w:val="004E2358"/>
    <w:rsid w:val="004E247E"/>
    <w:rsid w:val="004E26ED"/>
    <w:rsid w:val="004E297C"/>
    <w:rsid w:val="004E2C3F"/>
    <w:rsid w:val="004E2CAE"/>
    <w:rsid w:val="004E2E68"/>
    <w:rsid w:val="004E2E73"/>
    <w:rsid w:val="004E314A"/>
    <w:rsid w:val="004E318C"/>
    <w:rsid w:val="004E3336"/>
    <w:rsid w:val="004E3471"/>
    <w:rsid w:val="004E349A"/>
    <w:rsid w:val="004E3A2B"/>
    <w:rsid w:val="004E3A95"/>
    <w:rsid w:val="004E3AD1"/>
    <w:rsid w:val="004E4032"/>
    <w:rsid w:val="004E4125"/>
    <w:rsid w:val="004E4541"/>
    <w:rsid w:val="004E4A4E"/>
    <w:rsid w:val="004E4CD8"/>
    <w:rsid w:val="004E4E4A"/>
    <w:rsid w:val="004E564B"/>
    <w:rsid w:val="004E6775"/>
    <w:rsid w:val="004E69FC"/>
    <w:rsid w:val="004E6C25"/>
    <w:rsid w:val="004E6D6D"/>
    <w:rsid w:val="004E6ED6"/>
    <w:rsid w:val="004E7C91"/>
    <w:rsid w:val="004E7D84"/>
    <w:rsid w:val="004F0CA1"/>
    <w:rsid w:val="004F0D0C"/>
    <w:rsid w:val="004F117F"/>
    <w:rsid w:val="004F146D"/>
    <w:rsid w:val="004F1C4C"/>
    <w:rsid w:val="004F1D63"/>
    <w:rsid w:val="004F1F13"/>
    <w:rsid w:val="004F1F1E"/>
    <w:rsid w:val="004F213C"/>
    <w:rsid w:val="004F228A"/>
    <w:rsid w:val="004F2351"/>
    <w:rsid w:val="004F27CA"/>
    <w:rsid w:val="004F2968"/>
    <w:rsid w:val="004F2C17"/>
    <w:rsid w:val="004F2C61"/>
    <w:rsid w:val="004F3151"/>
    <w:rsid w:val="004F32BC"/>
    <w:rsid w:val="004F330F"/>
    <w:rsid w:val="004F3504"/>
    <w:rsid w:val="004F37D9"/>
    <w:rsid w:val="004F3CFD"/>
    <w:rsid w:val="004F3FEF"/>
    <w:rsid w:val="004F440D"/>
    <w:rsid w:val="004F5170"/>
    <w:rsid w:val="004F52E0"/>
    <w:rsid w:val="004F57CC"/>
    <w:rsid w:val="004F58BE"/>
    <w:rsid w:val="004F5988"/>
    <w:rsid w:val="004F5C4D"/>
    <w:rsid w:val="004F5CF8"/>
    <w:rsid w:val="004F5F85"/>
    <w:rsid w:val="004F6031"/>
    <w:rsid w:val="004F60C7"/>
    <w:rsid w:val="004F7218"/>
    <w:rsid w:val="004F72D2"/>
    <w:rsid w:val="004F7C9C"/>
    <w:rsid w:val="004F7D93"/>
    <w:rsid w:val="004F7E39"/>
    <w:rsid w:val="0050011A"/>
    <w:rsid w:val="00500396"/>
    <w:rsid w:val="0050048A"/>
    <w:rsid w:val="00500517"/>
    <w:rsid w:val="005009C2"/>
    <w:rsid w:val="00500F21"/>
    <w:rsid w:val="00500F94"/>
    <w:rsid w:val="00500FDF"/>
    <w:rsid w:val="00501716"/>
    <w:rsid w:val="005021C4"/>
    <w:rsid w:val="00502423"/>
    <w:rsid w:val="0050250D"/>
    <w:rsid w:val="00502697"/>
    <w:rsid w:val="00503353"/>
    <w:rsid w:val="0050339B"/>
    <w:rsid w:val="00503420"/>
    <w:rsid w:val="005036E4"/>
    <w:rsid w:val="005038C0"/>
    <w:rsid w:val="00503D7D"/>
    <w:rsid w:val="0050400D"/>
    <w:rsid w:val="005047AA"/>
    <w:rsid w:val="00504B3C"/>
    <w:rsid w:val="00504D5B"/>
    <w:rsid w:val="00504DC1"/>
    <w:rsid w:val="00504E41"/>
    <w:rsid w:val="00505023"/>
    <w:rsid w:val="0050528B"/>
    <w:rsid w:val="005054BC"/>
    <w:rsid w:val="005054F1"/>
    <w:rsid w:val="005055F4"/>
    <w:rsid w:val="0050560D"/>
    <w:rsid w:val="00505894"/>
    <w:rsid w:val="005059CE"/>
    <w:rsid w:val="00505B88"/>
    <w:rsid w:val="005064E0"/>
    <w:rsid w:val="005065A2"/>
    <w:rsid w:val="00506625"/>
    <w:rsid w:val="00506861"/>
    <w:rsid w:val="005069E7"/>
    <w:rsid w:val="00506AE0"/>
    <w:rsid w:val="00506DDE"/>
    <w:rsid w:val="00506E7F"/>
    <w:rsid w:val="00506F1E"/>
    <w:rsid w:val="005071CA"/>
    <w:rsid w:val="00507321"/>
    <w:rsid w:val="0050770D"/>
    <w:rsid w:val="00507A36"/>
    <w:rsid w:val="00507C63"/>
    <w:rsid w:val="00507D63"/>
    <w:rsid w:val="00507E09"/>
    <w:rsid w:val="005100E0"/>
    <w:rsid w:val="005107CD"/>
    <w:rsid w:val="005108E7"/>
    <w:rsid w:val="0051098E"/>
    <w:rsid w:val="00510F15"/>
    <w:rsid w:val="0051102E"/>
    <w:rsid w:val="00511A01"/>
    <w:rsid w:val="00511C4D"/>
    <w:rsid w:val="00511DB8"/>
    <w:rsid w:val="00512124"/>
    <w:rsid w:val="00512725"/>
    <w:rsid w:val="0051313D"/>
    <w:rsid w:val="00513B38"/>
    <w:rsid w:val="005142C8"/>
    <w:rsid w:val="00514817"/>
    <w:rsid w:val="00514A1F"/>
    <w:rsid w:val="00514F50"/>
    <w:rsid w:val="005155BF"/>
    <w:rsid w:val="00515762"/>
    <w:rsid w:val="005157EC"/>
    <w:rsid w:val="00515AD4"/>
    <w:rsid w:val="00515EB2"/>
    <w:rsid w:val="00516184"/>
    <w:rsid w:val="0051624F"/>
    <w:rsid w:val="00516634"/>
    <w:rsid w:val="00516873"/>
    <w:rsid w:val="00516981"/>
    <w:rsid w:val="00516F51"/>
    <w:rsid w:val="00517523"/>
    <w:rsid w:val="00517C49"/>
    <w:rsid w:val="00520234"/>
    <w:rsid w:val="0052035F"/>
    <w:rsid w:val="005204BC"/>
    <w:rsid w:val="005206C1"/>
    <w:rsid w:val="005206D4"/>
    <w:rsid w:val="00520F39"/>
    <w:rsid w:val="00521507"/>
    <w:rsid w:val="005216AC"/>
    <w:rsid w:val="00521B2C"/>
    <w:rsid w:val="00522084"/>
    <w:rsid w:val="0052226C"/>
    <w:rsid w:val="005223D3"/>
    <w:rsid w:val="0052243E"/>
    <w:rsid w:val="00522682"/>
    <w:rsid w:val="00522786"/>
    <w:rsid w:val="0052282D"/>
    <w:rsid w:val="0052327F"/>
    <w:rsid w:val="005232FF"/>
    <w:rsid w:val="005237D9"/>
    <w:rsid w:val="00523AA4"/>
    <w:rsid w:val="00524020"/>
    <w:rsid w:val="0052413B"/>
    <w:rsid w:val="00524189"/>
    <w:rsid w:val="005242C3"/>
    <w:rsid w:val="0052445D"/>
    <w:rsid w:val="005247D0"/>
    <w:rsid w:val="00524815"/>
    <w:rsid w:val="00524FE7"/>
    <w:rsid w:val="00525262"/>
    <w:rsid w:val="005254BE"/>
    <w:rsid w:val="0052594E"/>
    <w:rsid w:val="00525ABF"/>
    <w:rsid w:val="005264B8"/>
    <w:rsid w:val="00526726"/>
    <w:rsid w:val="005268D8"/>
    <w:rsid w:val="00526DB8"/>
    <w:rsid w:val="00527325"/>
    <w:rsid w:val="00527C79"/>
    <w:rsid w:val="00527D11"/>
    <w:rsid w:val="00530065"/>
    <w:rsid w:val="0053040E"/>
    <w:rsid w:val="005306C9"/>
    <w:rsid w:val="0053092F"/>
    <w:rsid w:val="00530A9B"/>
    <w:rsid w:val="00530EE2"/>
    <w:rsid w:val="005310BC"/>
    <w:rsid w:val="00531645"/>
    <w:rsid w:val="00531716"/>
    <w:rsid w:val="00531EBA"/>
    <w:rsid w:val="0053264C"/>
    <w:rsid w:val="0053287E"/>
    <w:rsid w:val="00532A31"/>
    <w:rsid w:val="00532C0A"/>
    <w:rsid w:val="00533261"/>
    <w:rsid w:val="005334D5"/>
    <w:rsid w:val="005338A7"/>
    <w:rsid w:val="00533C9E"/>
    <w:rsid w:val="0053411F"/>
    <w:rsid w:val="005348DA"/>
    <w:rsid w:val="00534E30"/>
    <w:rsid w:val="005352FC"/>
    <w:rsid w:val="00535480"/>
    <w:rsid w:val="00535489"/>
    <w:rsid w:val="005354B3"/>
    <w:rsid w:val="0053578D"/>
    <w:rsid w:val="00535A6C"/>
    <w:rsid w:val="00536865"/>
    <w:rsid w:val="00536974"/>
    <w:rsid w:val="00536B64"/>
    <w:rsid w:val="00537043"/>
    <w:rsid w:val="005372CD"/>
    <w:rsid w:val="0053740E"/>
    <w:rsid w:val="00537CEB"/>
    <w:rsid w:val="0054005A"/>
    <w:rsid w:val="0054024E"/>
    <w:rsid w:val="005404C7"/>
    <w:rsid w:val="005406DF"/>
    <w:rsid w:val="00540925"/>
    <w:rsid w:val="00540B94"/>
    <w:rsid w:val="00540DCA"/>
    <w:rsid w:val="00541AA0"/>
    <w:rsid w:val="0054267A"/>
    <w:rsid w:val="005428E0"/>
    <w:rsid w:val="005428E6"/>
    <w:rsid w:val="005428FD"/>
    <w:rsid w:val="00542975"/>
    <w:rsid w:val="00542B21"/>
    <w:rsid w:val="00542BF0"/>
    <w:rsid w:val="00543616"/>
    <w:rsid w:val="00544018"/>
    <w:rsid w:val="00544075"/>
    <w:rsid w:val="00544117"/>
    <w:rsid w:val="00544244"/>
    <w:rsid w:val="00544347"/>
    <w:rsid w:val="0054458A"/>
    <w:rsid w:val="005447F6"/>
    <w:rsid w:val="00544816"/>
    <w:rsid w:val="00544972"/>
    <w:rsid w:val="00544ADF"/>
    <w:rsid w:val="00544EF8"/>
    <w:rsid w:val="00545908"/>
    <w:rsid w:val="00545A36"/>
    <w:rsid w:val="00545C3F"/>
    <w:rsid w:val="00545E1D"/>
    <w:rsid w:val="0054623A"/>
    <w:rsid w:val="00546341"/>
    <w:rsid w:val="00546752"/>
    <w:rsid w:val="00546933"/>
    <w:rsid w:val="00546E86"/>
    <w:rsid w:val="005472D4"/>
    <w:rsid w:val="00547535"/>
    <w:rsid w:val="00547893"/>
    <w:rsid w:val="00547A4C"/>
    <w:rsid w:val="00547B48"/>
    <w:rsid w:val="00547F73"/>
    <w:rsid w:val="00550550"/>
    <w:rsid w:val="0055067D"/>
    <w:rsid w:val="005506C9"/>
    <w:rsid w:val="00550C76"/>
    <w:rsid w:val="00550D66"/>
    <w:rsid w:val="0055103C"/>
    <w:rsid w:val="0055109D"/>
    <w:rsid w:val="0055124F"/>
    <w:rsid w:val="005514FB"/>
    <w:rsid w:val="00552378"/>
    <w:rsid w:val="00552BCD"/>
    <w:rsid w:val="00552C33"/>
    <w:rsid w:val="00553875"/>
    <w:rsid w:val="00553B51"/>
    <w:rsid w:val="00553C35"/>
    <w:rsid w:val="00553EF4"/>
    <w:rsid w:val="005541A6"/>
    <w:rsid w:val="0055479D"/>
    <w:rsid w:val="00555F61"/>
    <w:rsid w:val="0055624B"/>
    <w:rsid w:val="00556662"/>
    <w:rsid w:val="00556AE3"/>
    <w:rsid w:val="005572C9"/>
    <w:rsid w:val="00557400"/>
    <w:rsid w:val="00557610"/>
    <w:rsid w:val="00557693"/>
    <w:rsid w:val="0055780E"/>
    <w:rsid w:val="005579D9"/>
    <w:rsid w:val="00557A74"/>
    <w:rsid w:val="00557F88"/>
    <w:rsid w:val="00560DE3"/>
    <w:rsid w:val="00560EA2"/>
    <w:rsid w:val="0056116E"/>
    <w:rsid w:val="0056133D"/>
    <w:rsid w:val="005614AB"/>
    <w:rsid w:val="005615E5"/>
    <w:rsid w:val="0056165C"/>
    <w:rsid w:val="005617D1"/>
    <w:rsid w:val="005618C1"/>
    <w:rsid w:val="00561DC1"/>
    <w:rsid w:val="00561E96"/>
    <w:rsid w:val="0056204C"/>
    <w:rsid w:val="005620CF"/>
    <w:rsid w:val="005622AC"/>
    <w:rsid w:val="005622DD"/>
    <w:rsid w:val="0056283B"/>
    <w:rsid w:val="00562E5C"/>
    <w:rsid w:val="0056397D"/>
    <w:rsid w:val="00563B3F"/>
    <w:rsid w:val="005644CE"/>
    <w:rsid w:val="005644E4"/>
    <w:rsid w:val="005645B1"/>
    <w:rsid w:val="00564B20"/>
    <w:rsid w:val="00564BC7"/>
    <w:rsid w:val="00564E8D"/>
    <w:rsid w:val="00564FC4"/>
    <w:rsid w:val="005655B5"/>
    <w:rsid w:val="005655EC"/>
    <w:rsid w:val="00565A8B"/>
    <w:rsid w:val="00565F70"/>
    <w:rsid w:val="00566111"/>
    <w:rsid w:val="0056643D"/>
    <w:rsid w:val="0056656A"/>
    <w:rsid w:val="005665D9"/>
    <w:rsid w:val="00566693"/>
    <w:rsid w:val="005666B7"/>
    <w:rsid w:val="0056724C"/>
    <w:rsid w:val="0056734F"/>
    <w:rsid w:val="00567398"/>
    <w:rsid w:val="0056757D"/>
    <w:rsid w:val="0056769F"/>
    <w:rsid w:val="00567807"/>
    <w:rsid w:val="00567910"/>
    <w:rsid w:val="00567A1A"/>
    <w:rsid w:val="00567B4F"/>
    <w:rsid w:val="00567BCA"/>
    <w:rsid w:val="00567DE7"/>
    <w:rsid w:val="00570046"/>
    <w:rsid w:val="00570259"/>
    <w:rsid w:val="0057043B"/>
    <w:rsid w:val="005708C1"/>
    <w:rsid w:val="00570D0A"/>
    <w:rsid w:val="00570DE7"/>
    <w:rsid w:val="00570FC5"/>
    <w:rsid w:val="00571417"/>
    <w:rsid w:val="00571539"/>
    <w:rsid w:val="00571C4E"/>
    <w:rsid w:val="00571F5C"/>
    <w:rsid w:val="00572021"/>
    <w:rsid w:val="00572B10"/>
    <w:rsid w:val="0057345C"/>
    <w:rsid w:val="00573C81"/>
    <w:rsid w:val="00573CDB"/>
    <w:rsid w:val="00573EC9"/>
    <w:rsid w:val="00573F63"/>
    <w:rsid w:val="005743B7"/>
    <w:rsid w:val="00574586"/>
    <w:rsid w:val="00574E5E"/>
    <w:rsid w:val="0057542B"/>
    <w:rsid w:val="0057550D"/>
    <w:rsid w:val="005756E9"/>
    <w:rsid w:val="00575A0E"/>
    <w:rsid w:val="00575B1C"/>
    <w:rsid w:val="00575C78"/>
    <w:rsid w:val="00575C89"/>
    <w:rsid w:val="00575E76"/>
    <w:rsid w:val="00575E7A"/>
    <w:rsid w:val="0057628C"/>
    <w:rsid w:val="005762F7"/>
    <w:rsid w:val="005763A8"/>
    <w:rsid w:val="005766E6"/>
    <w:rsid w:val="0057674B"/>
    <w:rsid w:val="00576779"/>
    <w:rsid w:val="00576A86"/>
    <w:rsid w:val="00576D1F"/>
    <w:rsid w:val="00577863"/>
    <w:rsid w:val="00577876"/>
    <w:rsid w:val="0057788E"/>
    <w:rsid w:val="00577D29"/>
    <w:rsid w:val="0058028D"/>
    <w:rsid w:val="005803DC"/>
    <w:rsid w:val="005809E0"/>
    <w:rsid w:val="005812DB"/>
    <w:rsid w:val="0058130D"/>
    <w:rsid w:val="005814CE"/>
    <w:rsid w:val="00581F6E"/>
    <w:rsid w:val="005820F8"/>
    <w:rsid w:val="005824AD"/>
    <w:rsid w:val="00582989"/>
    <w:rsid w:val="00582CBF"/>
    <w:rsid w:val="00582F9B"/>
    <w:rsid w:val="005830F2"/>
    <w:rsid w:val="00583104"/>
    <w:rsid w:val="0058345D"/>
    <w:rsid w:val="005836D7"/>
    <w:rsid w:val="00583ADF"/>
    <w:rsid w:val="00583C2A"/>
    <w:rsid w:val="005844BC"/>
    <w:rsid w:val="005847BA"/>
    <w:rsid w:val="00584A94"/>
    <w:rsid w:val="00584F55"/>
    <w:rsid w:val="00585153"/>
    <w:rsid w:val="005852EA"/>
    <w:rsid w:val="00585301"/>
    <w:rsid w:val="005857F8"/>
    <w:rsid w:val="0058586D"/>
    <w:rsid w:val="00585D27"/>
    <w:rsid w:val="00585E15"/>
    <w:rsid w:val="005862C1"/>
    <w:rsid w:val="005863E8"/>
    <w:rsid w:val="0058657D"/>
    <w:rsid w:val="00586A3D"/>
    <w:rsid w:val="00586CEA"/>
    <w:rsid w:val="0058703C"/>
    <w:rsid w:val="0058712F"/>
    <w:rsid w:val="00587262"/>
    <w:rsid w:val="00587291"/>
    <w:rsid w:val="00587523"/>
    <w:rsid w:val="005876E5"/>
    <w:rsid w:val="00590904"/>
    <w:rsid w:val="00590BFB"/>
    <w:rsid w:val="00590C12"/>
    <w:rsid w:val="00591500"/>
    <w:rsid w:val="00591602"/>
    <w:rsid w:val="005922BF"/>
    <w:rsid w:val="005926F3"/>
    <w:rsid w:val="005929F2"/>
    <w:rsid w:val="00592A4F"/>
    <w:rsid w:val="00592ED1"/>
    <w:rsid w:val="0059308A"/>
    <w:rsid w:val="00593195"/>
    <w:rsid w:val="00593473"/>
    <w:rsid w:val="005935DC"/>
    <w:rsid w:val="00593799"/>
    <w:rsid w:val="00593DE3"/>
    <w:rsid w:val="00593F6E"/>
    <w:rsid w:val="00593FC5"/>
    <w:rsid w:val="00594162"/>
    <w:rsid w:val="0059420B"/>
    <w:rsid w:val="005942CB"/>
    <w:rsid w:val="0059435F"/>
    <w:rsid w:val="00594443"/>
    <w:rsid w:val="00594FDC"/>
    <w:rsid w:val="00595081"/>
    <w:rsid w:val="005951A3"/>
    <w:rsid w:val="0059523D"/>
    <w:rsid w:val="005952A9"/>
    <w:rsid w:val="00595E30"/>
    <w:rsid w:val="00595EB5"/>
    <w:rsid w:val="00595ED3"/>
    <w:rsid w:val="00596193"/>
    <w:rsid w:val="005966AB"/>
    <w:rsid w:val="005968C5"/>
    <w:rsid w:val="00596E5F"/>
    <w:rsid w:val="00597093"/>
    <w:rsid w:val="0059711A"/>
    <w:rsid w:val="00597268"/>
    <w:rsid w:val="005972DB"/>
    <w:rsid w:val="00597B40"/>
    <w:rsid w:val="00597C07"/>
    <w:rsid w:val="00597DC2"/>
    <w:rsid w:val="005A07A4"/>
    <w:rsid w:val="005A081E"/>
    <w:rsid w:val="005A0961"/>
    <w:rsid w:val="005A0E95"/>
    <w:rsid w:val="005A0FEC"/>
    <w:rsid w:val="005A102C"/>
    <w:rsid w:val="005A137B"/>
    <w:rsid w:val="005A155A"/>
    <w:rsid w:val="005A15FC"/>
    <w:rsid w:val="005A1960"/>
    <w:rsid w:val="005A1CA4"/>
    <w:rsid w:val="005A1DF7"/>
    <w:rsid w:val="005A21A3"/>
    <w:rsid w:val="005A23AC"/>
    <w:rsid w:val="005A2956"/>
    <w:rsid w:val="005A2AC3"/>
    <w:rsid w:val="005A329F"/>
    <w:rsid w:val="005A32E1"/>
    <w:rsid w:val="005A34A8"/>
    <w:rsid w:val="005A3E0C"/>
    <w:rsid w:val="005A3F6F"/>
    <w:rsid w:val="005A3FBA"/>
    <w:rsid w:val="005A4493"/>
    <w:rsid w:val="005A4856"/>
    <w:rsid w:val="005A4AE7"/>
    <w:rsid w:val="005A4C0B"/>
    <w:rsid w:val="005A4E1B"/>
    <w:rsid w:val="005A50A8"/>
    <w:rsid w:val="005A517E"/>
    <w:rsid w:val="005A566D"/>
    <w:rsid w:val="005A5765"/>
    <w:rsid w:val="005A5BEF"/>
    <w:rsid w:val="005A5D0E"/>
    <w:rsid w:val="005A602B"/>
    <w:rsid w:val="005A66FD"/>
    <w:rsid w:val="005A67EC"/>
    <w:rsid w:val="005A69AA"/>
    <w:rsid w:val="005A69B9"/>
    <w:rsid w:val="005A6BC4"/>
    <w:rsid w:val="005A6C72"/>
    <w:rsid w:val="005A70BE"/>
    <w:rsid w:val="005A70E5"/>
    <w:rsid w:val="005A71DB"/>
    <w:rsid w:val="005A7273"/>
    <w:rsid w:val="005A75A3"/>
    <w:rsid w:val="005A76E1"/>
    <w:rsid w:val="005B011A"/>
    <w:rsid w:val="005B0665"/>
    <w:rsid w:val="005B068F"/>
    <w:rsid w:val="005B08FB"/>
    <w:rsid w:val="005B0C83"/>
    <w:rsid w:val="005B1C28"/>
    <w:rsid w:val="005B1D6F"/>
    <w:rsid w:val="005B212A"/>
    <w:rsid w:val="005B21A9"/>
    <w:rsid w:val="005B258B"/>
    <w:rsid w:val="005B29DA"/>
    <w:rsid w:val="005B2C76"/>
    <w:rsid w:val="005B2EDA"/>
    <w:rsid w:val="005B300B"/>
    <w:rsid w:val="005B30E6"/>
    <w:rsid w:val="005B357F"/>
    <w:rsid w:val="005B35AE"/>
    <w:rsid w:val="005B366B"/>
    <w:rsid w:val="005B374C"/>
    <w:rsid w:val="005B3B1F"/>
    <w:rsid w:val="005B3E84"/>
    <w:rsid w:val="005B439F"/>
    <w:rsid w:val="005B4556"/>
    <w:rsid w:val="005B467A"/>
    <w:rsid w:val="005B4751"/>
    <w:rsid w:val="005B49A6"/>
    <w:rsid w:val="005B520C"/>
    <w:rsid w:val="005B5870"/>
    <w:rsid w:val="005B58BE"/>
    <w:rsid w:val="005B5CE7"/>
    <w:rsid w:val="005B5EA2"/>
    <w:rsid w:val="005B603A"/>
    <w:rsid w:val="005B60E9"/>
    <w:rsid w:val="005B6395"/>
    <w:rsid w:val="005B66D2"/>
    <w:rsid w:val="005B6773"/>
    <w:rsid w:val="005B67A8"/>
    <w:rsid w:val="005B7132"/>
    <w:rsid w:val="005B73CF"/>
    <w:rsid w:val="005B7791"/>
    <w:rsid w:val="005B7D33"/>
    <w:rsid w:val="005B7DCD"/>
    <w:rsid w:val="005C0066"/>
    <w:rsid w:val="005C0CF9"/>
    <w:rsid w:val="005C0E55"/>
    <w:rsid w:val="005C13EF"/>
    <w:rsid w:val="005C1654"/>
    <w:rsid w:val="005C1CCB"/>
    <w:rsid w:val="005C2205"/>
    <w:rsid w:val="005C242A"/>
    <w:rsid w:val="005C282E"/>
    <w:rsid w:val="005C2950"/>
    <w:rsid w:val="005C2D94"/>
    <w:rsid w:val="005C31F3"/>
    <w:rsid w:val="005C387C"/>
    <w:rsid w:val="005C3AB3"/>
    <w:rsid w:val="005C3CC8"/>
    <w:rsid w:val="005C3FF3"/>
    <w:rsid w:val="005C402C"/>
    <w:rsid w:val="005C4379"/>
    <w:rsid w:val="005C4440"/>
    <w:rsid w:val="005C45BB"/>
    <w:rsid w:val="005C462A"/>
    <w:rsid w:val="005C4ACC"/>
    <w:rsid w:val="005C4CAB"/>
    <w:rsid w:val="005C5453"/>
    <w:rsid w:val="005C570A"/>
    <w:rsid w:val="005C5825"/>
    <w:rsid w:val="005C6583"/>
    <w:rsid w:val="005C6659"/>
    <w:rsid w:val="005C6664"/>
    <w:rsid w:val="005C6C0D"/>
    <w:rsid w:val="005C6D8B"/>
    <w:rsid w:val="005C6E3A"/>
    <w:rsid w:val="005C7260"/>
    <w:rsid w:val="005C73F4"/>
    <w:rsid w:val="005C75E3"/>
    <w:rsid w:val="005C75E9"/>
    <w:rsid w:val="005C772E"/>
    <w:rsid w:val="005C7885"/>
    <w:rsid w:val="005C7A59"/>
    <w:rsid w:val="005C7D8D"/>
    <w:rsid w:val="005D00E8"/>
    <w:rsid w:val="005D0685"/>
    <w:rsid w:val="005D0731"/>
    <w:rsid w:val="005D0B6F"/>
    <w:rsid w:val="005D0C28"/>
    <w:rsid w:val="005D0CFD"/>
    <w:rsid w:val="005D0E9B"/>
    <w:rsid w:val="005D1126"/>
    <w:rsid w:val="005D114E"/>
    <w:rsid w:val="005D1C49"/>
    <w:rsid w:val="005D1F4E"/>
    <w:rsid w:val="005D2663"/>
    <w:rsid w:val="005D283B"/>
    <w:rsid w:val="005D2EF3"/>
    <w:rsid w:val="005D2FB6"/>
    <w:rsid w:val="005D3473"/>
    <w:rsid w:val="005D35B8"/>
    <w:rsid w:val="005D378C"/>
    <w:rsid w:val="005D38CC"/>
    <w:rsid w:val="005D3AB7"/>
    <w:rsid w:val="005D3B20"/>
    <w:rsid w:val="005D3F35"/>
    <w:rsid w:val="005D4778"/>
    <w:rsid w:val="005D4C60"/>
    <w:rsid w:val="005D5898"/>
    <w:rsid w:val="005D5AD1"/>
    <w:rsid w:val="005D5E85"/>
    <w:rsid w:val="005D5EF5"/>
    <w:rsid w:val="005D64C2"/>
    <w:rsid w:val="005D64C6"/>
    <w:rsid w:val="005D6527"/>
    <w:rsid w:val="005D6639"/>
    <w:rsid w:val="005D69C9"/>
    <w:rsid w:val="005D6F49"/>
    <w:rsid w:val="005D79A9"/>
    <w:rsid w:val="005D79C9"/>
    <w:rsid w:val="005D7D25"/>
    <w:rsid w:val="005D7F4A"/>
    <w:rsid w:val="005E0293"/>
    <w:rsid w:val="005E02A8"/>
    <w:rsid w:val="005E06CB"/>
    <w:rsid w:val="005E0D95"/>
    <w:rsid w:val="005E1092"/>
    <w:rsid w:val="005E15A3"/>
    <w:rsid w:val="005E19EF"/>
    <w:rsid w:val="005E1BF9"/>
    <w:rsid w:val="005E2129"/>
    <w:rsid w:val="005E232D"/>
    <w:rsid w:val="005E25A8"/>
    <w:rsid w:val="005E280B"/>
    <w:rsid w:val="005E2919"/>
    <w:rsid w:val="005E3163"/>
    <w:rsid w:val="005E3600"/>
    <w:rsid w:val="005E37BD"/>
    <w:rsid w:val="005E3A9A"/>
    <w:rsid w:val="005E3E19"/>
    <w:rsid w:val="005E3EBA"/>
    <w:rsid w:val="005E4751"/>
    <w:rsid w:val="005E49AF"/>
    <w:rsid w:val="005E4CD0"/>
    <w:rsid w:val="005E5A5F"/>
    <w:rsid w:val="005E5CB2"/>
    <w:rsid w:val="005E6286"/>
    <w:rsid w:val="005E6367"/>
    <w:rsid w:val="005E6A6B"/>
    <w:rsid w:val="005E7628"/>
    <w:rsid w:val="005E7FA8"/>
    <w:rsid w:val="005F0705"/>
    <w:rsid w:val="005F07D0"/>
    <w:rsid w:val="005F0861"/>
    <w:rsid w:val="005F0891"/>
    <w:rsid w:val="005F093A"/>
    <w:rsid w:val="005F09A4"/>
    <w:rsid w:val="005F0AD0"/>
    <w:rsid w:val="005F0C38"/>
    <w:rsid w:val="005F0D7B"/>
    <w:rsid w:val="005F11B6"/>
    <w:rsid w:val="005F1B1D"/>
    <w:rsid w:val="005F1BC3"/>
    <w:rsid w:val="005F1D6A"/>
    <w:rsid w:val="005F210C"/>
    <w:rsid w:val="005F21E4"/>
    <w:rsid w:val="005F2232"/>
    <w:rsid w:val="005F2495"/>
    <w:rsid w:val="005F26E5"/>
    <w:rsid w:val="005F287A"/>
    <w:rsid w:val="005F2A6B"/>
    <w:rsid w:val="005F2A79"/>
    <w:rsid w:val="005F2F6C"/>
    <w:rsid w:val="005F300A"/>
    <w:rsid w:val="005F3497"/>
    <w:rsid w:val="005F38BE"/>
    <w:rsid w:val="005F3EE2"/>
    <w:rsid w:val="005F4220"/>
    <w:rsid w:val="005F4760"/>
    <w:rsid w:val="005F4845"/>
    <w:rsid w:val="005F4929"/>
    <w:rsid w:val="005F4AF1"/>
    <w:rsid w:val="005F4B86"/>
    <w:rsid w:val="005F4EB3"/>
    <w:rsid w:val="005F4F85"/>
    <w:rsid w:val="005F53F4"/>
    <w:rsid w:val="005F5B5C"/>
    <w:rsid w:val="005F5ECF"/>
    <w:rsid w:val="005F77C3"/>
    <w:rsid w:val="005F7B25"/>
    <w:rsid w:val="005F7CF1"/>
    <w:rsid w:val="005F7F03"/>
    <w:rsid w:val="006003ED"/>
    <w:rsid w:val="00600488"/>
    <w:rsid w:val="00600A9B"/>
    <w:rsid w:val="00600AE0"/>
    <w:rsid w:val="00600EC3"/>
    <w:rsid w:val="0060116A"/>
    <w:rsid w:val="006016DC"/>
    <w:rsid w:val="00601DC7"/>
    <w:rsid w:val="00601DDD"/>
    <w:rsid w:val="00601E19"/>
    <w:rsid w:val="006020B8"/>
    <w:rsid w:val="00602297"/>
    <w:rsid w:val="006027CD"/>
    <w:rsid w:val="0060299C"/>
    <w:rsid w:val="006029F5"/>
    <w:rsid w:val="00602AD3"/>
    <w:rsid w:val="006030BE"/>
    <w:rsid w:val="00603459"/>
    <w:rsid w:val="00603678"/>
    <w:rsid w:val="00603880"/>
    <w:rsid w:val="006039B9"/>
    <w:rsid w:val="00603C5B"/>
    <w:rsid w:val="00603D9E"/>
    <w:rsid w:val="00603FD8"/>
    <w:rsid w:val="00604378"/>
    <w:rsid w:val="0060437F"/>
    <w:rsid w:val="006043C9"/>
    <w:rsid w:val="00604550"/>
    <w:rsid w:val="00604909"/>
    <w:rsid w:val="00604D22"/>
    <w:rsid w:val="00605282"/>
    <w:rsid w:val="00605716"/>
    <w:rsid w:val="00605D1A"/>
    <w:rsid w:val="00605D5E"/>
    <w:rsid w:val="00605DDD"/>
    <w:rsid w:val="00605FFA"/>
    <w:rsid w:val="006062EA"/>
    <w:rsid w:val="00606587"/>
    <w:rsid w:val="006067CC"/>
    <w:rsid w:val="00606829"/>
    <w:rsid w:val="0060682D"/>
    <w:rsid w:val="0060697D"/>
    <w:rsid w:val="00606A0A"/>
    <w:rsid w:val="00606C05"/>
    <w:rsid w:val="00606D6F"/>
    <w:rsid w:val="0060700F"/>
    <w:rsid w:val="00607324"/>
    <w:rsid w:val="00607430"/>
    <w:rsid w:val="006074D7"/>
    <w:rsid w:val="006077C6"/>
    <w:rsid w:val="00607932"/>
    <w:rsid w:val="00607D24"/>
    <w:rsid w:val="006102D9"/>
    <w:rsid w:val="006106FC"/>
    <w:rsid w:val="00610B2B"/>
    <w:rsid w:val="00611270"/>
    <w:rsid w:val="0061180E"/>
    <w:rsid w:val="00611B7D"/>
    <w:rsid w:val="00611C6B"/>
    <w:rsid w:val="00611DC3"/>
    <w:rsid w:val="00611F15"/>
    <w:rsid w:val="00612184"/>
    <w:rsid w:val="0061227C"/>
    <w:rsid w:val="00612377"/>
    <w:rsid w:val="00612984"/>
    <w:rsid w:val="00612D67"/>
    <w:rsid w:val="00612EC9"/>
    <w:rsid w:val="006131C4"/>
    <w:rsid w:val="006135AF"/>
    <w:rsid w:val="00613BD7"/>
    <w:rsid w:val="00613F85"/>
    <w:rsid w:val="00614094"/>
    <w:rsid w:val="00614452"/>
    <w:rsid w:val="00614627"/>
    <w:rsid w:val="00614766"/>
    <w:rsid w:val="00614814"/>
    <w:rsid w:val="00614B93"/>
    <w:rsid w:val="0061519F"/>
    <w:rsid w:val="006155B0"/>
    <w:rsid w:val="0061576C"/>
    <w:rsid w:val="006158BD"/>
    <w:rsid w:val="00615C97"/>
    <w:rsid w:val="00615E35"/>
    <w:rsid w:val="00615F5C"/>
    <w:rsid w:val="00616022"/>
    <w:rsid w:val="006162ED"/>
    <w:rsid w:val="00616FD0"/>
    <w:rsid w:val="00617025"/>
    <w:rsid w:val="00617B46"/>
    <w:rsid w:val="00617BBB"/>
    <w:rsid w:val="00617BE7"/>
    <w:rsid w:val="00617F20"/>
    <w:rsid w:val="00617F89"/>
    <w:rsid w:val="00620102"/>
    <w:rsid w:val="006201C6"/>
    <w:rsid w:val="00620A5D"/>
    <w:rsid w:val="00620C86"/>
    <w:rsid w:val="00620D24"/>
    <w:rsid w:val="00620F20"/>
    <w:rsid w:val="00621589"/>
    <w:rsid w:val="00621A87"/>
    <w:rsid w:val="00621B91"/>
    <w:rsid w:val="00621EB6"/>
    <w:rsid w:val="0062218D"/>
    <w:rsid w:val="006222E8"/>
    <w:rsid w:val="00622837"/>
    <w:rsid w:val="00622D63"/>
    <w:rsid w:val="00622D88"/>
    <w:rsid w:val="00622DF8"/>
    <w:rsid w:val="00622FCE"/>
    <w:rsid w:val="0062367E"/>
    <w:rsid w:val="00623AA6"/>
    <w:rsid w:val="00623DD3"/>
    <w:rsid w:val="00624948"/>
    <w:rsid w:val="00624BF5"/>
    <w:rsid w:val="00625304"/>
    <w:rsid w:val="00625B65"/>
    <w:rsid w:val="00625C53"/>
    <w:rsid w:val="00625C8D"/>
    <w:rsid w:val="00625CFC"/>
    <w:rsid w:val="00625EE3"/>
    <w:rsid w:val="00625F0B"/>
    <w:rsid w:val="006262B6"/>
    <w:rsid w:val="00626CC9"/>
    <w:rsid w:val="00626CD6"/>
    <w:rsid w:val="00626CFA"/>
    <w:rsid w:val="00626EFE"/>
    <w:rsid w:val="0062784D"/>
    <w:rsid w:val="006278E3"/>
    <w:rsid w:val="00630211"/>
    <w:rsid w:val="00630704"/>
    <w:rsid w:val="006310CB"/>
    <w:rsid w:val="00631859"/>
    <w:rsid w:val="006320AB"/>
    <w:rsid w:val="00632227"/>
    <w:rsid w:val="0063288C"/>
    <w:rsid w:val="0063296E"/>
    <w:rsid w:val="00632B9C"/>
    <w:rsid w:val="00632E43"/>
    <w:rsid w:val="0063305B"/>
    <w:rsid w:val="0063356F"/>
    <w:rsid w:val="0063381D"/>
    <w:rsid w:val="00633880"/>
    <w:rsid w:val="00633A70"/>
    <w:rsid w:val="00633E7B"/>
    <w:rsid w:val="006341C9"/>
    <w:rsid w:val="00634326"/>
    <w:rsid w:val="00634375"/>
    <w:rsid w:val="00634A86"/>
    <w:rsid w:val="00634C8D"/>
    <w:rsid w:val="00634C97"/>
    <w:rsid w:val="00634CD0"/>
    <w:rsid w:val="00634E5F"/>
    <w:rsid w:val="00634F2F"/>
    <w:rsid w:val="00634FA0"/>
    <w:rsid w:val="0063539F"/>
    <w:rsid w:val="00635442"/>
    <w:rsid w:val="006355CF"/>
    <w:rsid w:val="00635676"/>
    <w:rsid w:val="00635719"/>
    <w:rsid w:val="006357EA"/>
    <w:rsid w:val="006359AF"/>
    <w:rsid w:val="00635C8A"/>
    <w:rsid w:val="006362CA"/>
    <w:rsid w:val="006365C2"/>
    <w:rsid w:val="006369DD"/>
    <w:rsid w:val="006372BA"/>
    <w:rsid w:val="006378AE"/>
    <w:rsid w:val="00637E1E"/>
    <w:rsid w:val="00637E41"/>
    <w:rsid w:val="00637F30"/>
    <w:rsid w:val="006400E7"/>
    <w:rsid w:val="00640147"/>
    <w:rsid w:val="0064014C"/>
    <w:rsid w:val="006407B5"/>
    <w:rsid w:val="006410CB"/>
    <w:rsid w:val="0064114B"/>
    <w:rsid w:val="006414B7"/>
    <w:rsid w:val="00641F3B"/>
    <w:rsid w:val="00642397"/>
    <w:rsid w:val="00642777"/>
    <w:rsid w:val="00642A56"/>
    <w:rsid w:val="00642DA3"/>
    <w:rsid w:val="00642F23"/>
    <w:rsid w:val="0064325A"/>
    <w:rsid w:val="00643266"/>
    <w:rsid w:val="006435C1"/>
    <w:rsid w:val="00643962"/>
    <w:rsid w:val="00643E7C"/>
    <w:rsid w:val="00643E83"/>
    <w:rsid w:val="00644145"/>
    <w:rsid w:val="00644B79"/>
    <w:rsid w:val="006450F6"/>
    <w:rsid w:val="00645462"/>
    <w:rsid w:val="0064566D"/>
    <w:rsid w:val="0064588F"/>
    <w:rsid w:val="00645C16"/>
    <w:rsid w:val="00645E0B"/>
    <w:rsid w:val="00646495"/>
    <w:rsid w:val="0064650C"/>
    <w:rsid w:val="0064654D"/>
    <w:rsid w:val="00646593"/>
    <w:rsid w:val="00646821"/>
    <w:rsid w:val="00646B92"/>
    <w:rsid w:val="00646CA4"/>
    <w:rsid w:val="00647430"/>
    <w:rsid w:val="00647E06"/>
    <w:rsid w:val="00647EF0"/>
    <w:rsid w:val="00650316"/>
    <w:rsid w:val="00650460"/>
    <w:rsid w:val="00650952"/>
    <w:rsid w:val="00650B94"/>
    <w:rsid w:val="00651378"/>
    <w:rsid w:val="00651385"/>
    <w:rsid w:val="006513DD"/>
    <w:rsid w:val="006514F9"/>
    <w:rsid w:val="006517BC"/>
    <w:rsid w:val="00651F8C"/>
    <w:rsid w:val="00651F9C"/>
    <w:rsid w:val="00652030"/>
    <w:rsid w:val="00652385"/>
    <w:rsid w:val="006523D0"/>
    <w:rsid w:val="0065268A"/>
    <w:rsid w:val="006527FD"/>
    <w:rsid w:val="00652B0F"/>
    <w:rsid w:val="00652FDE"/>
    <w:rsid w:val="0065320A"/>
    <w:rsid w:val="00653FC1"/>
    <w:rsid w:val="0065474B"/>
    <w:rsid w:val="00654D45"/>
    <w:rsid w:val="00654D72"/>
    <w:rsid w:val="00655347"/>
    <w:rsid w:val="006557BF"/>
    <w:rsid w:val="0065591F"/>
    <w:rsid w:val="0065595C"/>
    <w:rsid w:val="00655D56"/>
    <w:rsid w:val="00655DF1"/>
    <w:rsid w:val="006562CC"/>
    <w:rsid w:val="00656AD7"/>
    <w:rsid w:val="006570C7"/>
    <w:rsid w:val="00657851"/>
    <w:rsid w:val="00657BA7"/>
    <w:rsid w:val="00660465"/>
    <w:rsid w:val="00660813"/>
    <w:rsid w:val="00660DF1"/>
    <w:rsid w:val="0066174E"/>
    <w:rsid w:val="0066181F"/>
    <w:rsid w:val="006618FA"/>
    <w:rsid w:val="00661ACC"/>
    <w:rsid w:val="00661F03"/>
    <w:rsid w:val="00662210"/>
    <w:rsid w:val="0066261F"/>
    <w:rsid w:val="00662B2A"/>
    <w:rsid w:val="00663196"/>
    <w:rsid w:val="006633B0"/>
    <w:rsid w:val="00663495"/>
    <w:rsid w:val="0066359A"/>
    <w:rsid w:val="0066373C"/>
    <w:rsid w:val="00663C2B"/>
    <w:rsid w:val="00664085"/>
    <w:rsid w:val="00664117"/>
    <w:rsid w:val="006646EC"/>
    <w:rsid w:val="00664700"/>
    <w:rsid w:val="00664BF4"/>
    <w:rsid w:val="00664F59"/>
    <w:rsid w:val="006650EA"/>
    <w:rsid w:val="0066565F"/>
    <w:rsid w:val="006657FE"/>
    <w:rsid w:val="00665884"/>
    <w:rsid w:val="00665FA2"/>
    <w:rsid w:val="00665FB5"/>
    <w:rsid w:val="00666097"/>
    <w:rsid w:val="00666123"/>
    <w:rsid w:val="006663C7"/>
    <w:rsid w:val="0066640B"/>
    <w:rsid w:val="00666595"/>
    <w:rsid w:val="00666A57"/>
    <w:rsid w:val="00666B94"/>
    <w:rsid w:val="00666F3A"/>
    <w:rsid w:val="00667406"/>
    <w:rsid w:val="00667A70"/>
    <w:rsid w:val="00667C0D"/>
    <w:rsid w:val="00670478"/>
    <w:rsid w:val="006704F4"/>
    <w:rsid w:val="0067072C"/>
    <w:rsid w:val="00670A0F"/>
    <w:rsid w:val="00670A62"/>
    <w:rsid w:val="00670AD1"/>
    <w:rsid w:val="00670BA9"/>
    <w:rsid w:val="00670C98"/>
    <w:rsid w:val="00670D58"/>
    <w:rsid w:val="00670FEF"/>
    <w:rsid w:val="0067124E"/>
    <w:rsid w:val="0067173A"/>
    <w:rsid w:val="006718A2"/>
    <w:rsid w:val="00671951"/>
    <w:rsid w:val="00671E11"/>
    <w:rsid w:val="00671E1E"/>
    <w:rsid w:val="0067207E"/>
    <w:rsid w:val="0067239E"/>
    <w:rsid w:val="0067296C"/>
    <w:rsid w:val="006729D3"/>
    <w:rsid w:val="00672DCD"/>
    <w:rsid w:val="00672F26"/>
    <w:rsid w:val="00673075"/>
    <w:rsid w:val="0067323D"/>
    <w:rsid w:val="00673363"/>
    <w:rsid w:val="00673A45"/>
    <w:rsid w:val="00673A55"/>
    <w:rsid w:val="00673EE8"/>
    <w:rsid w:val="00673F45"/>
    <w:rsid w:val="00674049"/>
    <w:rsid w:val="0067438D"/>
    <w:rsid w:val="00674746"/>
    <w:rsid w:val="00674A55"/>
    <w:rsid w:val="00674DE4"/>
    <w:rsid w:val="00674F9E"/>
    <w:rsid w:val="00675A06"/>
    <w:rsid w:val="00675B87"/>
    <w:rsid w:val="006765F7"/>
    <w:rsid w:val="0067738D"/>
    <w:rsid w:val="006774FB"/>
    <w:rsid w:val="006776FA"/>
    <w:rsid w:val="006801D2"/>
    <w:rsid w:val="0068030C"/>
    <w:rsid w:val="00680568"/>
    <w:rsid w:val="00680584"/>
    <w:rsid w:val="006806BA"/>
    <w:rsid w:val="006808B1"/>
    <w:rsid w:val="00680A72"/>
    <w:rsid w:val="00681123"/>
    <w:rsid w:val="00681616"/>
    <w:rsid w:val="00681744"/>
    <w:rsid w:val="00681BD9"/>
    <w:rsid w:val="006822D3"/>
    <w:rsid w:val="00682315"/>
    <w:rsid w:val="00682859"/>
    <w:rsid w:val="00682AF8"/>
    <w:rsid w:val="00682BD9"/>
    <w:rsid w:val="006834E1"/>
    <w:rsid w:val="00683978"/>
    <w:rsid w:val="00683CE5"/>
    <w:rsid w:val="00683D0D"/>
    <w:rsid w:val="006840F5"/>
    <w:rsid w:val="00684842"/>
    <w:rsid w:val="00684CF3"/>
    <w:rsid w:val="00685425"/>
    <w:rsid w:val="00685674"/>
    <w:rsid w:val="00685763"/>
    <w:rsid w:val="006857FA"/>
    <w:rsid w:val="0068581A"/>
    <w:rsid w:val="006858B0"/>
    <w:rsid w:val="0068688A"/>
    <w:rsid w:val="00686ED0"/>
    <w:rsid w:val="00686FA0"/>
    <w:rsid w:val="006870D7"/>
    <w:rsid w:val="0068732B"/>
    <w:rsid w:val="00687521"/>
    <w:rsid w:val="0068761A"/>
    <w:rsid w:val="00687659"/>
    <w:rsid w:val="006878B8"/>
    <w:rsid w:val="00687920"/>
    <w:rsid w:val="00690122"/>
    <w:rsid w:val="006902C9"/>
    <w:rsid w:val="00690437"/>
    <w:rsid w:val="00690514"/>
    <w:rsid w:val="006906FF"/>
    <w:rsid w:val="006908EB"/>
    <w:rsid w:val="00690BCD"/>
    <w:rsid w:val="00690C55"/>
    <w:rsid w:val="00690D83"/>
    <w:rsid w:val="00690DF8"/>
    <w:rsid w:val="006912A8"/>
    <w:rsid w:val="00691367"/>
    <w:rsid w:val="00691621"/>
    <w:rsid w:val="006919B4"/>
    <w:rsid w:val="00691C18"/>
    <w:rsid w:val="00691C20"/>
    <w:rsid w:val="00691E12"/>
    <w:rsid w:val="006921C4"/>
    <w:rsid w:val="006929FA"/>
    <w:rsid w:val="00693664"/>
    <w:rsid w:val="00693715"/>
    <w:rsid w:val="00693C47"/>
    <w:rsid w:val="0069417B"/>
    <w:rsid w:val="00694606"/>
    <w:rsid w:val="006946A6"/>
    <w:rsid w:val="006948A9"/>
    <w:rsid w:val="00694B89"/>
    <w:rsid w:val="00694D2B"/>
    <w:rsid w:val="00695252"/>
    <w:rsid w:val="0069564F"/>
    <w:rsid w:val="006957DF"/>
    <w:rsid w:val="006958D1"/>
    <w:rsid w:val="006958FD"/>
    <w:rsid w:val="00695C10"/>
    <w:rsid w:val="00696379"/>
    <w:rsid w:val="006967C4"/>
    <w:rsid w:val="00696A10"/>
    <w:rsid w:val="00696A61"/>
    <w:rsid w:val="00697240"/>
    <w:rsid w:val="006972AB"/>
    <w:rsid w:val="0069765C"/>
    <w:rsid w:val="00697B22"/>
    <w:rsid w:val="00697B49"/>
    <w:rsid w:val="00697FE8"/>
    <w:rsid w:val="006A0C43"/>
    <w:rsid w:val="006A0DE3"/>
    <w:rsid w:val="006A127D"/>
    <w:rsid w:val="006A1355"/>
    <w:rsid w:val="006A18BD"/>
    <w:rsid w:val="006A1AD9"/>
    <w:rsid w:val="006A1BEA"/>
    <w:rsid w:val="006A2184"/>
    <w:rsid w:val="006A2415"/>
    <w:rsid w:val="006A24EE"/>
    <w:rsid w:val="006A27CF"/>
    <w:rsid w:val="006A2A40"/>
    <w:rsid w:val="006A2C94"/>
    <w:rsid w:val="006A39A6"/>
    <w:rsid w:val="006A3A01"/>
    <w:rsid w:val="006A3A05"/>
    <w:rsid w:val="006A3C24"/>
    <w:rsid w:val="006A3FD7"/>
    <w:rsid w:val="006A4125"/>
    <w:rsid w:val="006A4594"/>
    <w:rsid w:val="006A48C4"/>
    <w:rsid w:val="006A4E13"/>
    <w:rsid w:val="006A4E36"/>
    <w:rsid w:val="006A5919"/>
    <w:rsid w:val="006A603C"/>
    <w:rsid w:val="006A61F5"/>
    <w:rsid w:val="006A66AC"/>
    <w:rsid w:val="006A69B2"/>
    <w:rsid w:val="006A6CD7"/>
    <w:rsid w:val="006A75C3"/>
    <w:rsid w:val="006A76A7"/>
    <w:rsid w:val="006A7798"/>
    <w:rsid w:val="006A7B49"/>
    <w:rsid w:val="006B07AD"/>
    <w:rsid w:val="006B0AB1"/>
    <w:rsid w:val="006B1309"/>
    <w:rsid w:val="006B17BD"/>
    <w:rsid w:val="006B1CCD"/>
    <w:rsid w:val="006B1D36"/>
    <w:rsid w:val="006B2602"/>
    <w:rsid w:val="006B29E2"/>
    <w:rsid w:val="006B2A9A"/>
    <w:rsid w:val="006B2DAD"/>
    <w:rsid w:val="006B310A"/>
    <w:rsid w:val="006B33B7"/>
    <w:rsid w:val="006B3812"/>
    <w:rsid w:val="006B4168"/>
    <w:rsid w:val="006B4F1C"/>
    <w:rsid w:val="006B4FDA"/>
    <w:rsid w:val="006B5E3F"/>
    <w:rsid w:val="006B607C"/>
    <w:rsid w:val="006B677C"/>
    <w:rsid w:val="006B6C8E"/>
    <w:rsid w:val="006B6D25"/>
    <w:rsid w:val="006B6DD5"/>
    <w:rsid w:val="006B6E14"/>
    <w:rsid w:val="006B72B0"/>
    <w:rsid w:val="006B7439"/>
    <w:rsid w:val="006B7E4F"/>
    <w:rsid w:val="006C06E3"/>
    <w:rsid w:val="006C0928"/>
    <w:rsid w:val="006C0B7E"/>
    <w:rsid w:val="006C1033"/>
    <w:rsid w:val="006C157A"/>
    <w:rsid w:val="006C1DA0"/>
    <w:rsid w:val="006C1E2C"/>
    <w:rsid w:val="006C270C"/>
    <w:rsid w:val="006C2715"/>
    <w:rsid w:val="006C2959"/>
    <w:rsid w:val="006C2DF7"/>
    <w:rsid w:val="006C33A6"/>
    <w:rsid w:val="006C348A"/>
    <w:rsid w:val="006C3614"/>
    <w:rsid w:val="006C3ACB"/>
    <w:rsid w:val="006C410A"/>
    <w:rsid w:val="006C43E0"/>
    <w:rsid w:val="006C48E5"/>
    <w:rsid w:val="006C4D62"/>
    <w:rsid w:val="006C4E72"/>
    <w:rsid w:val="006C4FC9"/>
    <w:rsid w:val="006C51AB"/>
    <w:rsid w:val="006C578C"/>
    <w:rsid w:val="006C5AEA"/>
    <w:rsid w:val="006C5ECA"/>
    <w:rsid w:val="006C6059"/>
    <w:rsid w:val="006C61F7"/>
    <w:rsid w:val="006C6221"/>
    <w:rsid w:val="006C627E"/>
    <w:rsid w:val="006C64C1"/>
    <w:rsid w:val="006C66BB"/>
    <w:rsid w:val="006C6E24"/>
    <w:rsid w:val="006C6E47"/>
    <w:rsid w:val="006C73BB"/>
    <w:rsid w:val="006C781A"/>
    <w:rsid w:val="006C7CEB"/>
    <w:rsid w:val="006C7E15"/>
    <w:rsid w:val="006D018F"/>
    <w:rsid w:val="006D0462"/>
    <w:rsid w:val="006D06A7"/>
    <w:rsid w:val="006D07B0"/>
    <w:rsid w:val="006D0B6D"/>
    <w:rsid w:val="006D14F4"/>
    <w:rsid w:val="006D168F"/>
    <w:rsid w:val="006D1993"/>
    <w:rsid w:val="006D19DF"/>
    <w:rsid w:val="006D1A4B"/>
    <w:rsid w:val="006D1B59"/>
    <w:rsid w:val="006D1F73"/>
    <w:rsid w:val="006D2378"/>
    <w:rsid w:val="006D2A53"/>
    <w:rsid w:val="006D2BB7"/>
    <w:rsid w:val="006D2D66"/>
    <w:rsid w:val="006D2FD4"/>
    <w:rsid w:val="006D3320"/>
    <w:rsid w:val="006D33E9"/>
    <w:rsid w:val="006D36E2"/>
    <w:rsid w:val="006D38C2"/>
    <w:rsid w:val="006D3986"/>
    <w:rsid w:val="006D3A92"/>
    <w:rsid w:val="006D3F1A"/>
    <w:rsid w:val="006D3FF1"/>
    <w:rsid w:val="006D440A"/>
    <w:rsid w:val="006D45E1"/>
    <w:rsid w:val="006D46A0"/>
    <w:rsid w:val="006D4ABB"/>
    <w:rsid w:val="006D5405"/>
    <w:rsid w:val="006D5418"/>
    <w:rsid w:val="006D55BF"/>
    <w:rsid w:val="006D631A"/>
    <w:rsid w:val="006D659E"/>
    <w:rsid w:val="006D65B2"/>
    <w:rsid w:val="006D6745"/>
    <w:rsid w:val="006D6A4A"/>
    <w:rsid w:val="006D6D03"/>
    <w:rsid w:val="006D73B0"/>
    <w:rsid w:val="006D79FB"/>
    <w:rsid w:val="006D7A53"/>
    <w:rsid w:val="006D7DD7"/>
    <w:rsid w:val="006E01A1"/>
    <w:rsid w:val="006E0424"/>
    <w:rsid w:val="006E0452"/>
    <w:rsid w:val="006E049A"/>
    <w:rsid w:val="006E0A65"/>
    <w:rsid w:val="006E0B18"/>
    <w:rsid w:val="006E109F"/>
    <w:rsid w:val="006E1104"/>
    <w:rsid w:val="006E12A8"/>
    <w:rsid w:val="006E15F5"/>
    <w:rsid w:val="006E19BF"/>
    <w:rsid w:val="006E19EC"/>
    <w:rsid w:val="006E22EC"/>
    <w:rsid w:val="006E2390"/>
    <w:rsid w:val="006E2584"/>
    <w:rsid w:val="006E2CCC"/>
    <w:rsid w:val="006E2E4C"/>
    <w:rsid w:val="006E31A7"/>
    <w:rsid w:val="006E3682"/>
    <w:rsid w:val="006E3875"/>
    <w:rsid w:val="006E3B7C"/>
    <w:rsid w:val="006E3E79"/>
    <w:rsid w:val="006E40FF"/>
    <w:rsid w:val="006E4253"/>
    <w:rsid w:val="006E4BBA"/>
    <w:rsid w:val="006E4CEE"/>
    <w:rsid w:val="006E51D4"/>
    <w:rsid w:val="006E5305"/>
    <w:rsid w:val="006E56C6"/>
    <w:rsid w:val="006E5826"/>
    <w:rsid w:val="006E5C75"/>
    <w:rsid w:val="006E5CA2"/>
    <w:rsid w:val="006E5F9E"/>
    <w:rsid w:val="006E60BF"/>
    <w:rsid w:val="006E6121"/>
    <w:rsid w:val="006E6749"/>
    <w:rsid w:val="006E67B7"/>
    <w:rsid w:val="006E686E"/>
    <w:rsid w:val="006E6910"/>
    <w:rsid w:val="006E722F"/>
    <w:rsid w:val="006E72F9"/>
    <w:rsid w:val="006E76B6"/>
    <w:rsid w:val="006F010E"/>
    <w:rsid w:val="006F01D2"/>
    <w:rsid w:val="006F0A55"/>
    <w:rsid w:val="006F0D2D"/>
    <w:rsid w:val="006F0E71"/>
    <w:rsid w:val="006F1028"/>
    <w:rsid w:val="006F161D"/>
    <w:rsid w:val="006F18CC"/>
    <w:rsid w:val="006F1BA8"/>
    <w:rsid w:val="006F1DA1"/>
    <w:rsid w:val="006F22BA"/>
    <w:rsid w:val="006F2666"/>
    <w:rsid w:val="006F2BD2"/>
    <w:rsid w:val="006F2E8D"/>
    <w:rsid w:val="006F2EF0"/>
    <w:rsid w:val="006F317E"/>
    <w:rsid w:val="006F3256"/>
    <w:rsid w:val="006F387F"/>
    <w:rsid w:val="006F3A85"/>
    <w:rsid w:val="006F3B18"/>
    <w:rsid w:val="006F3E55"/>
    <w:rsid w:val="006F409D"/>
    <w:rsid w:val="006F41E8"/>
    <w:rsid w:val="006F4339"/>
    <w:rsid w:val="006F4383"/>
    <w:rsid w:val="006F4456"/>
    <w:rsid w:val="006F44F9"/>
    <w:rsid w:val="006F4A42"/>
    <w:rsid w:val="006F4B33"/>
    <w:rsid w:val="006F4C79"/>
    <w:rsid w:val="006F4E52"/>
    <w:rsid w:val="006F519A"/>
    <w:rsid w:val="006F54D1"/>
    <w:rsid w:val="006F583E"/>
    <w:rsid w:val="006F5F83"/>
    <w:rsid w:val="006F6252"/>
    <w:rsid w:val="006F6268"/>
    <w:rsid w:val="006F66B6"/>
    <w:rsid w:val="006F6AC2"/>
    <w:rsid w:val="006F6C8D"/>
    <w:rsid w:val="006F6E7D"/>
    <w:rsid w:val="006F6FE8"/>
    <w:rsid w:val="006F733C"/>
    <w:rsid w:val="006F748E"/>
    <w:rsid w:val="007001BF"/>
    <w:rsid w:val="00700970"/>
    <w:rsid w:val="00700C0D"/>
    <w:rsid w:val="00700C41"/>
    <w:rsid w:val="00700D27"/>
    <w:rsid w:val="00700E0B"/>
    <w:rsid w:val="00700FD2"/>
    <w:rsid w:val="007010E0"/>
    <w:rsid w:val="007011B5"/>
    <w:rsid w:val="007011E7"/>
    <w:rsid w:val="0070169D"/>
    <w:rsid w:val="007019FC"/>
    <w:rsid w:val="00702235"/>
    <w:rsid w:val="00702755"/>
    <w:rsid w:val="007027EA"/>
    <w:rsid w:val="00702800"/>
    <w:rsid w:val="00703105"/>
    <w:rsid w:val="0070336E"/>
    <w:rsid w:val="00703743"/>
    <w:rsid w:val="00703841"/>
    <w:rsid w:val="0070396D"/>
    <w:rsid w:val="00703BBF"/>
    <w:rsid w:val="00703D99"/>
    <w:rsid w:val="00703DFC"/>
    <w:rsid w:val="00703F5C"/>
    <w:rsid w:val="00704071"/>
    <w:rsid w:val="00704148"/>
    <w:rsid w:val="00704282"/>
    <w:rsid w:val="00704355"/>
    <w:rsid w:val="007045ED"/>
    <w:rsid w:val="00704F09"/>
    <w:rsid w:val="00704F0F"/>
    <w:rsid w:val="00705225"/>
    <w:rsid w:val="007057E4"/>
    <w:rsid w:val="0070584D"/>
    <w:rsid w:val="00705A84"/>
    <w:rsid w:val="00705E02"/>
    <w:rsid w:val="007065AF"/>
    <w:rsid w:val="007067F7"/>
    <w:rsid w:val="007067FA"/>
    <w:rsid w:val="00706F6D"/>
    <w:rsid w:val="007072D4"/>
    <w:rsid w:val="00707361"/>
    <w:rsid w:val="007074B4"/>
    <w:rsid w:val="007078C9"/>
    <w:rsid w:val="00707B15"/>
    <w:rsid w:val="00710E5A"/>
    <w:rsid w:val="00710EE2"/>
    <w:rsid w:val="007111D6"/>
    <w:rsid w:val="00711505"/>
    <w:rsid w:val="00711A6B"/>
    <w:rsid w:val="00711BE9"/>
    <w:rsid w:val="00711D80"/>
    <w:rsid w:val="00711F47"/>
    <w:rsid w:val="00712955"/>
    <w:rsid w:val="007129D1"/>
    <w:rsid w:val="0071352D"/>
    <w:rsid w:val="00713B18"/>
    <w:rsid w:val="00713D78"/>
    <w:rsid w:val="00713E16"/>
    <w:rsid w:val="00714162"/>
    <w:rsid w:val="0071424F"/>
    <w:rsid w:val="00714964"/>
    <w:rsid w:val="0071496F"/>
    <w:rsid w:val="00715036"/>
    <w:rsid w:val="007152AB"/>
    <w:rsid w:val="007155EA"/>
    <w:rsid w:val="007156E7"/>
    <w:rsid w:val="00715997"/>
    <w:rsid w:val="00715A1D"/>
    <w:rsid w:val="00715AFB"/>
    <w:rsid w:val="00715B35"/>
    <w:rsid w:val="00715D7F"/>
    <w:rsid w:val="00715FCC"/>
    <w:rsid w:val="007160AF"/>
    <w:rsid w:val="0071612B"/>
    <w:rsid w:val="007169BF"/>
    <w:rsid w:val="00716BF5"/>
    <w:rsid w:val="007171CD"/>
    <w:rsid w:val="00717457"/>
    <w:rsid w:val="00717654"/>
    <w:rsid w:val="0071771D"/>
    <w:rsid w:val="00717A7E"/>
    <w:rsid w:val="00717D1F"/>
    <w:rsid w:val="00717D93"/>
    <w:rsid w:val="00717D9C"/>
    <w:rsid w:val="00717FCB"/>
    <w:rsid w:val="0072016C"/>
    <w:rsid w:val="00720866"/>
    <w:rsid w:val="007208F6"/>
    <w:rsid w:val="00720F1C"/>
    <w:rsid w:val="00720FAC"/>
    <w:rsid w:val="00721081"/>
    <w:rsid w:val="007214C9"/>
    <w:rsid w:val="00721ACF"/>
    <w:rsid w:val="00721F85"/>
    <w:rsid w:val="007224AC"/>
    <w:rsid w:val="00722AF9"/>
    <w:rsid w:val="00722B51"/>
    <w:rsid w:val="00723288"/>
    <w:rsid w:val="0072468E"/>
    <w:rsid w:val="007246FB"/>
    <w:rsid w:val="007248AC"/>
    <w:rsid w:val="00724D82"/>
    <w:rsid w:val="007251E3"/>
    <w:rsid w:val="007252D0"/>
    <w:rsid w:val="00725607"/>
    <w:rsid w:val="00725BBF"/>
    <w:rsid w:val="00725F5D"/>
    <w:rsid w:val="00726799"/>
    <w:rsid w:val="00726E2C"/>
    <w:rsid w:val="00726E5A"/>
    <w:rsid w:val="00727894"/>
    <w:rsid w:val="007278FB"/>
    <w:rsid w:val="00727A90"/>
    <w:rsid w:val="00727B71"/>
    <w:rsid w:val="00727C1A"/>
    <w:rsid w:val="00727DD1"/>
    <w:rsid w:val="00727FB3"/>
    <w:rsid w:val="00730071"/>
    <w:rsid w:val="00730880"/>
    <w:rsid w:val="00730D97"/>
    <w:rsid w:val="00730EFE"/>
    <w:rsid w:val="00731AF1"/>
    <w:rsid w:val="00731C28"/>
    <w:rsid w:val="00731E22"/>
    <w:rsid w:val="0073200E"/>
    <w:rsid w:val="00732747"/>
    <w:rsid w:val="007328AC"/>
    <w:rsid w:val="007328EE"/>
    <w:rsid w:val="00732A2F"/>
    <w:rsid w:val="00732B07"/>
    <w:rsid w:val="007330BE"/>
    <w:rsid w:val="00733477"/>
    <w:rsid w:val="0073355A"/>
    <w:rsid w:val="007337B4"/>
    <w:rsid w:val="00733864"/>
    <w:rsid w:val="00733936"/>
    <w:rsid w:val="00733988"/>
    <w:rsid w:val="00733C5A"/>
    <w:rsid w:val="00733EAE"/>
    <w:rsid w:val="0073404F"/>
    <w:rsid w:val="007340D7"/>
    <w:rsid w:val="00734207"/>
    <w:rsid w:val="00734613"/>
    <w:rsid w:val="0073482C"/>
    <w:rsid w:val="00734CCE"/>
    <w:rsid w:val="00734D56"/>
    <w:rsid w:val="00734DD0"/>
    <w:rsid w:val="0073585A"/>
    <w:rsid w:val="00735AF4"/>
    <w:rsid w:val="00735F88"/>
    <w:rsid w:val="007360B8"/>
    <w:rsid w:val="00736112"/>
    <w:rsid w:val="007361A5"/>
    <w:rsid w:val="007364A7"/>
    <w:rsid w:val="007368AE"/>
    <w:rsid w:val="00736AF9"/>
    <w:rsid w:val="00736FAC"/>
    <w:rsid w:val="00737175"/>
    <w:rsid w:val="007371F2"/>
    <w:rsid w:val="00737220"/>
    <w:rsid w:val="007374D5"/>
    <w:rsid w:val="00737898"/>
    <w:rsid w:val="007379EE"/>
    <w:rsid w:val="00737AC7"/>
    <w:rsid w:val="00737D70"/>
    <w:rsid w:val="007405EF"/>
    <w:rsid w:val="0074087A"/>
    <w:rsid w:val="00740904"/>
    <w:rsid w:val="00740A9E"/>
    <w:rsid w:val="00740BB3"/>
    <w:rsid w:val="00740BE0"/>
    <w:rsid w:val="00740FE6"/>
    <w:rsid w:val="00741011"/>
    <w:rsid w:val="00741390"/>
    <w:rsid w:val="0074160E"/>
    <w:rsid w:val="00741747"/>
    <w:rsid w:val="00741A6C"/>
    <w:rsid w:val="00741CDA"/>
    <w:rsid w:val="00742360"/>
    <w:rsid w:val="007427C4"/>
    <w:rsid w:val="00743102"/>
    <w:rsid w:val="00743320"/>
    <w:rsid w:val="00743BFA"/>
    <w:rsid w:val="00743D8E"/>
    <w:rsid w:val="00743FCE"/>
    <w:rsid w:val="007441EE"/>
    <w:rsid w:val="00744831"/>
    <w:rsid w:val="007448A2"/>
    <w:rsid w:val="00744AC8"/>
    <w:rsid w:val="00745398"/>
    <w:rsid w:val="00745797"/>
    <w:rsid w:val="00745798"/>
    <w:rsid w:val="00745BC3"/>
    <w:rsid w:val="007460FB"/>
    <w:rsid w:val="00746458"/>
    <w:rsid w:val="00746526"/>
    <w:rsid w:val="007466DB"/>
    <w:rsid w:val="007467B9"/>
    <w:rsid w:val="00746D0B"/>
    <w:rsid w:val="00746DCE"/>
    <w:rsid w:val="00747511"/>
    <w:rsid w:val="007475B5"/>
    <w:rsid w:val="00747747"/>
    <w:rsid w:val="00747BD0"/>
    <w:rsid w:val="007501D3"/>
    <w:rsid w:val="00750289"/>
    <w:rsid w:val="00750297"/>
    <w:rsid w:val="0075074A"/>
    <w:rsid w:val="00750819"/>
    <w:rsid w:val="00750D4B"/>
    <w:rsid w:val="00750D62"/>
    <w:rsid w:val="0075128D"/>
    <w:rsid w:val="00751364"/>
    <w:rsid w:val="00751372"/>
    <w:rsid w:val="007518B2"/>
    <w:rsid w:val="00751903"/>
    <w:rsid w:val="00751E71"/>
    <w:rsid w:val="00751F7A"/>
    <w:rsid w:val="007520C6"/>
    <w:rsid w:val="00752144"/>
    <w:rsid w:val="0075231C"/>
    <w:rsid w:val="00752A8C"/>
    <w:rsid w:val="00752BDF"/>
    <w:rsid w:val="0075335C"/>
    <w:rsid w:val="007534CD"/>
    <w:rsid w:val="00753908"/>
    <w:rsid w:val="00753989"/>
    <w:rsid w:val="00753A28"/>
    <w:rsid w:val="007541B1"/>
    <w:rsid w:val="007546B0"/>
    <w:rsid w:val="007549CA"/>
    <w:rsid w:val="00755351"/>
    <w:rsid w:val="00755708"/>
    <w:rsid w:val="0075572E"/>
    <w:rsid w:val="00756230"/>
    <w:rsid w:val="0075660B"/>
    <w:rsid w:val="00756A51"/>
    <w:rsid w:val="00756D54"/>
    <w:rsid w:val="007572E6"/>
    <w:rsid w:val="00757343"/>
    <w:rsid w:val="007577C6"/>
    <w:rsid w:val="00757EFA"/>
    <w:rsid w:val="0076012C"/>
    <w:rsid w:val="007601C2"/>
    <w:rsid w:val="00760420"/>
    <w:rsid w:val="00760872"/>
    <w:rsid w:val="00760A0C"/>
    <w:rsid w:val="00760A14"/>
    <w:rsid w:val="00760AA1"/>
    <w:rsid w:val="00761025"/>
    <w:rsid w:val="007611B2"/>
    <w:rsid w:val="007612FA"/>
    <w:rsid w:val="007615DE"/>
    <w:rsid w:val="0076204F"/>
    <w:rsid w:val="007622B4"/>
    <w:rsid w:val="00762407"/>
    <w:rsid w:val="00762660"/>
    <w:rsid w:val="00762699"/>
    <w:rsid w:val="007626E8"/>
    <w:rsid w:val="00762759"/>
    <w:rsid w:val="00762795"/>
    <w:rsid w:val="007627F7"/>
    <w:rsid w:val="00762912"/>
    <w:rsid w:val="0076291B"/>
    <w:rsid w:val="00762F5E"/>
    <w:rsid w:val="00763337"/>
    <w:rsid w:val="007634F0"/>
    <w:rsid w:val="00763528"/>
    <w:rsid w:val="00763571"/>
    <w:rsid w:val="00763813"/>
    <w:rsid w:val="007645AF"/>
    <w:rsid w:val="0076464B"/>
    <w:rsid w:val="00764A3A"/>
    <w:rsid w:val="00764AC8"/>
    <w:rsid w:val="00764F21"/>
    <w:rsid w:val="00765051"/>
    <w:rsid w:val="00765527"/>
    <w:rsid w:val="00766298"/>
    <w:rsid w:val="00766844"/>
    <w:rsid w:val="00766928"/>
    <w:rsid w:val="00766A33"/>
    <w:rsid w:val="00766C26"/>
    <w:rsid w:val="00766DF3"/>
    <w:rsid w:val="007671DA"/>
    <w:rsid w:val="00767286"/>
    <w:rsid w:val="007672D4"/>
    <w:rsid w:val="00767532"/>
    <w:rsid w:val="00770244"/>
    <w:rsid w:val="007704D4"/>
    <w:rsid w:val="007708E8"/>
    <w:rsid w:val="00770966"/>
    <w:rsid w:val="007710E9"/>
    <w:rsid w:val="00771206"/>
    <w:rsid w:val="00771501"/>
    <w:rsid w:val="00771999"/>
    <w:rsid w:val="00771D82"/>
    <w:rsid w:val="00771D9B"/>
    <w:rsid w:val="00771FBF"/>
    <w:rsid w:val="00771FC7"/>
    <w:rsid w:val="00772847"/>
    <w:rsid w:val="00772870"/>
    <w:rsid w:val="007728CE"/>
    <w:rsid w:val="0077357A"/>
    <w:rsid w:val="00773C3C"/>
    <w:rsid w:val="00773DC7"/>
    <w:rsid w:val="007740B8"/>
    <w:rsid w:val="00774DC5"/>
    <w:rsid w:val="00774EE4"/>
    <w:rsid w:val="007750CF"/>
    <w:rsid w:val="00775189"/>
    <w:rsid w:val="00775398"/>
    <w:rsid w:val="007754E8"/>
    <w:rsid w:val="007757AD"/>
    <w:rsid w:val="00775954"/>
    <w:rsid w:val="007759C3"/>
    <w:rsid w:val="0077651D"/>
    <w:rsid w:val="007765E7"/>
    <w:rsid w:val="00776608"/>
    <w:rsid w:val="00776914"/>
    <w:rsid w:val="00776945"/>
    <w:rsid w:val="0077722B"/>
    <w:rsid w:val="007773DD"/>
    <w:rsid w:val="00777610"/>
    <w:rsid w:val="00777640"/>
    <w:rsid w:val="00777937"/>
    <w:rsid w:val="00777D01"/>
    <w:rsid w:val="00777E61"/>
    <w:rsid w:val="00780441"/>
    <w:rsid w:val="00780B9E"/>
    <w:rsid w:val="007810CD"/>
    <w:rsid w:val="00781341"/>
    <w:rsid w:val="00782000"/>
    <w:rsid w:val="00782091"/>
    <w:rsid w:val="007820EB"/>
    <w:rsid w:val="00782259"/>
    <w:rsid w:val="0078278C"/>
    <w:rsid w:val="00782BBD"/>
    <w:rsid w:val="00782CB0"/>
    <w:rsid w:val="00782F7E"/>
    <w:rsid w:val="00783157"/>
    <w:rsid w:val="00783225"/>
    <w:rsid w:val="00784304"/>
    <w:rsid w:val="00784313"/>
    <w:rsid w:val="00784575"/>
    <w:rsid w:val="007845A1"/>
    <w:rsid w:val="0078477E"/>
    <w:rsid w:val="00784E52"/>
    <w:rsid w:val="007850FE"/>
    <w:rsid w:val="0078548E"/>
    <w:rsid w:val="00785668"/>
    <w:rsid w:val="0078575D"/>
    <w:rsid w:val="00785BCD"/>
    <w:rsid w:val="00785C74"/>
    <w:rsid w:val="00785D1D"/>
    <w:rsid w:val="00785EF5"/>
    <w:rsid w:val="007862C7"/>
    <w:rsid w:val="00786874"/>
    <w:rsid w:val="007870DD"/>
    <w:rsid w:val="00787285"/>
    <w:rsid w:val="0078728C"/>
    <w:rsid w:val="007879DD"/>
    <w:rsid w:val="00787A96"/>
    <w:rsid w:val="00790166"/>
    <w:rsid w:val="0079041C"/>
    <w:rsid w:val="00791022"/>
    <w:rsid w:val="007911C4"/>
    <w:rsid w:val="007912BD"/>
    <w:rsid w:val="00791510"/>
    <w:rsid w:val="00791545"/>
    <w:rsid w:val="0079196D"/>
    <w:rsid w:val="00791D5F"/>
    <w:rsid w:val="00791EDD"/>
    <w:rsid w:val="00791FB8"/>
    <w:rsid w:val="007920CA"/>
    <w:rsid w:val="00792216"/>
    <w:rsid w:val="00792275"/>
    <w:rsid w:val="007922EA"/>
    <w:rsid w:val="00792452"/>
    <w:rsid w:val="00792599"/>
    <w:rsid w:val="007929A5"/>
    <w:rsid w:val="00792C7C"/>
    <w:rsid w:val="00792DAA"/>
    <w:rsid w:val="0079333F"/>
    <w:rsid w:val="0079335F"/>
    <w:rsid w:val="00793416"/>
    <w:rsid w:val="007937E2"/>
    <w:rsid w:val="007938B5"/>
    <w:rsid w:val="007939C9"/>
    <w:rsid w:val="00793B82"/>
    <w:rsid w:val="00794A5C"/>
    <w:rsid w:val="007952AD"/>
    <w:rsid w:val="00795628"/>
    <w:rsid w:val="00795EEF"/>
    <w:rsid w:val="00796161"/>
    <w:rsid w:val="0079636F"/>
    <w:rsid w:val="007969A1"/>
    <w:rsid w:val="00796C0F"/>
    <w:rsid w:val="00796CC4"/>
    <w:rsid w:val="00796F1B"/>
    <w:rsid w:val="00797051"/>
    <w:rsid w:val="00797126"/>
    <w:rsid w:val="00797218"/>
    <w:rsid w:val="0079739F"/>
    <w:rsid w:val="007979A0"/>
    <w:rsid w:val="007A0075"/>
    <w:rsid w:val="007A020E"/>
    <w:rsid w:val="007A124D"/>
    <w:rsid w:val="007A1425"/>
    <w:rsid w:val="007A155D"/>
    <w:rsid w:val="007A1F63"/>
    <w:rsid w:val="007A22E0"/>
    <w:rsid w:val="007A25C2"/>
    <w:rsid w:val="007A26E4"/>
    <w:rsid w:val="007A270E"/>
    <w:rsid w:val="007A31C4"/>
    <w:rsid w:val="007A32EC"/>
    <w:rsid w:val="007A3410"/>
    <w:rsid w:val="007A343B"/>
    <w:rsid w:val="007A363E"/>
    <w:rsid w:val="007A36F7"/>
    <w:rsid w:val="007A3834"/>
    <w:rsid w:val="007A3854"/>
    <w:rsid w:val="007A38CA"/>
    <w:rsid w:val="007A3AD2"/>
    <w:rsid w:val="007A3B38"/>
    <w:rsid w:val="007A3E07"/>
    <w:rsid w:val="007A4490"/>
    <w:rsid w:val="007A47EE"/>
    <w:rsid w:val="007A496E"/>
    <w:rsid w:val="007A4B5C"/>
    <w:rsid w:val="007A4E08"/>
    <w:rsid w:val="007A4FE3"/>
    <w:rsid w:val="007A502F"/>
    <w:rsid w:val="007A5270"/>
    <w:rsid w:val="007A53A1"/>
    <w:rsid w:val="007A5482"/>
    <w:rsid w:val="007A55FA"/>
    <w:rsid w:val="007A5DE5"/>
    <w:rsid w:val="007A60ED"/>
    <w:rsid w:val="007A633E"/>
    <w:rsid w:val="007A6DC3"/>
    <w:rsid w:val="007A74C3"/>
    <w:rsid w:val="007A77DD"/>
    <w:rsid w:val="007A7C81"/>
    <w:rsid w:val="007A7DCC"/>
    <w:rsid w:val="007A7E76"/>
    <w:rsid w:val="007A7FF0"/>
    <w:rsid w:val="007B0365"/>
    <w:rsid w:val="007B0822"/>
    <w:rsid w:val="007B085D"/>
    <w:rsid w:val="007B0969"/>
    <w:rsid w:val="007B0CE6"/>
    <w:rsid w:val="007B0E3D"/>
    <w:rsid w:val="007B0FAD"/>
    <w:rsid w:val="007B102A"/>
    <w:rsid w:val="007B1337"/>
    <w:rsid w:val="007B14CF"/>
    <w:rsid w:val="007B1DAE"/>
    <w:rsid w:val="007B1F6B"/>
    <w:rsid w:val="007B258B"/>
    <w:rsid w:val="007B25C3"/>
    <w:rsid w:val="007B28DE"/>
    <w:rsid w:val="007B2948"/>
    <w:rsid w:val="007B2A15"/>
    <w:rsid w:val="007B30C9"/>
    <w:rsid w:val="007B3246"/>
    <w:rsid w:val="007B3818"/>
    <w:rsid w:val="007B39FB"/>
    <w:rsid w:val="007B3BC6"/>
    <w:rsid w:val="007B3C1B"/>
    <w:rsid w:val="007B3F24"/>
    <w:rsid w:val="007B48BB"/>
    <w:rsid w:val="007B4C08"/>
    <w:rsid w:val="007B4C36"/>
    <w:rsid w:val="007B4E4E"/>
    <w:rsid w:val="007B5045"/>
    <w:rsid w:val="007B50E2"/>
    <w:rsid w:val="007B512D"/>
    <w:rsid w:val="007B525B"/>
    <w:rsid w:val="007B590C"/>
    <w:rsid w:val="007B60CD"/>
    <w:rsid w:val="007B655B"/>
    <w:rsid w:val="007B678E"/>
    <w:rsid w:val="007B6D31"/>
    <w:rsid w:val="007B6EBF"/>
    <w:rsid w:val="007B6EE4"/>
    <w:rsid w:val="007B71BA"/>
    <w:rsid w:val="007B736D"/>
    <w:rsid w:val="007B736F"/>
    <w:rsid w:val="007B77E1"/>
    <w:rsid w:val="007B79DC"/>
    <w:rsid w:val="007B7DC0"/>
    <w:rsid w:val="007B7FC4"/>
    <w:rsid w:val="007C10CC"/>
    <w:rsid w:val="007C10E4"/>
    <w:rsid w:val="007C123C"/>
    <w:rsid w:val="007C18DD"/>
    <w:rsid w:val="007C19CA"/>
    <w:rsid w:val="007C1B5D"/>
    <w:rsid w:val="007C1DEF"/>
    <w:rsid w:val="007C23FE"/>
    <w:rsid w:val="007C2447"/>
    <w:rsid w:val="007C2453"/>
    <w:rsid w:val="007C2702"/>
    <w:rsid w:val="007C2861"/>
    <w:rsid w:val="007C2AA7"/>
    <w:rsid w:val="007C2C64"/>
    <w:rsid w:val="007C39CA"/>
    <w:rsid w:val="007C4208"/>
    <w:rsid w:val="007C47E3"/>
    <w:rsid w:val="007C4B5E"/>
    <w:rsid w:val="007C555D"/>
    <w:rsid w:val="007C599F"/>
    <w:rsid w:val="007C5F1D"/>
    <w:rsid w:val="007C60F1"/>
    <w:rsid w:val="007C6205"/>
    <w:rsid w:val="007C62E8"/>
    <w:rsid w:val="007C636B"/>
    <w:rsid w:val="007C68E9"/>
    <w:rsid w:val="007C6B4A"/>
    <w:rsid w:val="007C6CB0"/>
    <w:rsid w:val="007C6E38"/>
    <w:rsid w:val="007C71BC"/>
    <w:rsid w:val="007C76C0"/>
    <w:rsid w:val="007D0344"/>
    <w:rsid w:val="007D0471"/>
    <w:rsid w:val="007D0917"/>
    <w:rsid w:val="007D0C9C"/>
    <w:rsid w:val="007D0FE7"/>
    <w:rsid w:val="007D1532"/>
    <w:rsid w:val="007D1773"/>
    <w:rsid w:val="007D1D06"/>
    <w:rsid w:val="007D1EEE"/>
    <w:rsid w:val="007D1FDE"/>
    <w:rsid w:val="007D217E"/>
    <w:rsid w:val="007D23CD"/>
    <w:rsid w:val="007D2A2B"/>
    <w:rsid w:val="007D3057"/>
    <w:rsid w:val="007D310A"/>
    <w:rsid w:val="007D39B8"/>
    <w:rsid w:val="007D3FF9"/>
    <w:rsid w:val="007D43B1"/>
    <w:rsid w:val="007D4711"/>
    <w:rsid w:val="007D48D1"/>
    <w:rsid w:val="007D4C55"/>
    <w:rsid w:val="007D5228"/>
    <w:rsid w:val="007D6716"/>
    <w:rsid w:val="007D6763"/>
    <w:rsid w:val="007D6FDD"/>
    <w:rsid w:val="007D7D5E"/>
    <w:rsid w:val="007D7F9C"/>
    <w:rsid w:val="007E0139"/>
    <w:rsid w:val="007E06BE"/>
    <w:rsid w:val="007E0AEB"/>
    <w:rsid w:val="007E0E87"/>
    <w:rsid w:val="007E13CB"/>
    <w:rsid w:val="007E1743"/>
    <w:rsid w:val="007E196A"/>
    <w:rsid w:val="007E1C02"/>
    <w:rsid w:val="007E200B"/>
    <w:rsid w:val="007E26CE"/>
    <w:rsid w:val="007E276B"/>
    <w:rsid w:val="007E283C"/>
    <w:rsid w:val="007E2F10"/>
    <w:rsid w:val="007E3469"/>
    <w:rsid w:val="007E36F6"/>
    <w:rsid w:val="007E3906"/>
    <w:rsid w:val="007E3F9A"/>
    <w:rsid w:val="007E4A89"/>
    <w:rsid w:val="007E4B9E"/>
    <w:rsid w:val="007E4E35"/>
    <w:rsid w:val="007E4E46"/>
    <w:rsid w:val="007E5374"/>
    <w:rsid w:val="007E545A"/>
    <w:rsid w:val="007E545F"/>
    <w:rsid w:val="007E56AB"/>
    <w:rsid w:val="007E575E"/>
    <w:rsid w:val="007E57D3"/>
    <w:rsid w:val="007E5BAE"/>
    <w:rsid w:val="007E5D9B"/>
    <w:rsid w:val="007E634C"/>
    <w:rsid w:val="007E64AC"/>
    <w:rsid w:val="007E6659"/>
    <w:rsid w:val="007E68D8"/>
    <w:rsid w:val="007E6C8E"/>
    <w:rsid w:val="007E7B65"/>
    <w:rsid w:val="007E7FAB"/>
    <w:rsid w:val="007E7FF9"/>
    <w:rsid w:val="007F02E3"/>
    <w:rsid w:val="007F03FD"/>
    <w:rsid w:val="007F08EF"/>
    <w:rsid w:val="007F0A17"/>
    <w:rsid w:val="007F0ACA"/>
    <w:rsid w:val="007F0D64"/>
    <w:rsid w:val="007F1107"/>
    <w:rsid w:val="007F1458"/>
    <w:rsid w:val="007F1559"/>
    <w:rsid w:val="007F1A2A"/>
    <w:rsid w:val="007F1FD1"/>
    <w:rsid w:val="007F20B0"/>
    <w:rsid w:val="007F2179"/>
    <w:rsid w:val="007F21DD"/>
    <w:rsid w:val="007F2248"/>
    <w:rsid w:val="007F2328"/>
    <w:rsid w:val="007F2614"/>
    <w:rsid w:val="007F29CE"/>
    <w:rsid w:val="007F2DC0"/>
    <w:rsid w:val="007F2E85"/>
    <w:rsid w:val="007F331C"/>
    <w:rsid w:val="007F3359"/>
    <w:rsid w:val="007F35DA"/>
    <w:rsid w:val="007F37B7"/>
    <w:rsid w:val="007F37EF"/>
    <w:rsid w:val="007F3B15"/>
    <w:rsid w:val="007F3C73"/>
    <w:rsid w:val="007F40A2"/>
    <w:rsid w:val="007F425E"/>
    <w:rsid w:val="007F4DAF"/>
    <w:rsid w:val="007F5088"/>
    <w:rsid w:val="007F51EA"/>
    <w:rsid w:val="007F55A1"/>
    <w:rsid w:val="007F5C44"/>
    <w:rsid w:val="007F5C4A"/>
    <w:rsid w:val="007F5E6C"/>
    <w:rsid w:val="007F61FC"/>
    <w:rsid w:val="007F63DE"/>
    <w:rsid w:val="007F66F5"/>
    <w:rsid w:val="007F679D"/>
    <w:rsid w:val="007F6D16"/>
    <w:rsid w:val="007F6E6D"/>
    <w:rsid w:val="007F71A0"/>
    <w:rsid w:val="007F721A"/>
    <w:rsid w:val="007F7260"/>
    <w:rsid w:val="007F7C49"/>
    <w:rsid w:val="008000D2"/>
    <w:rsid w:val="0080025F"/>
    <w:rsid w:val="008002B2"/>
    <w:rsid w:val="00800629"/>
    <w:rsid w:val="00800918"/>
    <w:rsid w:val="0080092F"/>
    <w:rsid w:val="00800B4F"/>
    <w:rsid w:val="00800C0D"/>
    <w:rsid w:val="00800C64"/>
    <w:rsid w:val="00800D16"/>
    <w:rsid w:val="00800F0F"/>
    <w:rsid w:val="008011DC"/>
    <w:rsid w:val="0080131A"/>
    <w:rsid w:val="00801746"/>
    <w:rsid w:val="0080211D"/>
    <w:rsid w:val="008024A8"/>
    <w:rsid w:val="00802AC9"/>
    <w:rsid w:val="00803447"/>
    <w:rsid w:val="008034C8"/>
    <w:rsid w:val="0080389B"/>
    <w:rsid w:val="00804061"/>
    <w:rsid w:val="00804086"/>
    <w:rsid w:val="008041C7"/>
    <w:rsid w:val="00804510"/>
    <w:rsid w:val="0080451F"/>
    <w:rsid w:val="008047D0"/>
    <w:rsid w:val="008049D3"/>
    <w:rsid w:val="00804A2A"/>
    <w:rsid w:val="00804C0A"/>
    <w:rsid w:val="00805241"/>
    <w:rsid w:val="00805939"/>
    <w:rsid w:val="00805CB4"/>
    <w:rsid w:val="00805E92"/>
    <w:rsid w:val="00806088"/>
    <w:rsid w:val="00806138"/>
    <w:rsid w:val="008065BA"/>
    <w:rsid w:val="008067CA"/>
    <w:rsid w:val="008075E9"/>
    <w:rsid w:val="00807911"/>
    <w:rsid w:val="00807960"/>
    <w:rsid w:val="00807A29"/>
    <w:rsid w:val="00807D48"/>
    <w:rsid w:val="0081022D"/>
    <w:rsid w:val="008102E1"/>
    <w:rsid w:val="00810766"/>
    <w:rsid w:val="0081096A"/>
    <w:rsid w:val="00810B21"/>
    <w:rsid w:val="00810EB5"/>
    <w:rsid w:val="00810FFB"/>
    <w:rsid w:val="008112BE"/>
    <w:rsid w:val="00811334"/>
    <w:rsid w:val="008113A8"/>
    <w:rsid w:val="008113B0"/>
    <w:rsid w:val="0081187E"/>
    <w:rsid w:val="0081196E"/>
    <w:rsid w:val="00811E2C"/>
    <w:rsid w:val="008120AE"/>
    <w:rsid w:val="008122DD"/>
    <w:rsid w:val="00812E50"/>
    <w:rsid w:val="00812FDA"/>
    <w:rsid w:val="0081399E"/>
    <w:rsid w:val="00813A23"/>
    <w:rsid w:val="00813BA9"/>
    <w:rsid w:val="00813CA1"/>
    <w:rsid w:val="00813D9C"/>
    <w:rsid w:val="00813DD6"/>
    <w:rsid w:val="008140D2"/>
    <w:rsid w:val="00814423"/>
    <w:rsid w:val="008145C7"/>
    <w:rsid w:val="00814AFA"/>
    <w:rsid w:val="00814DDC"/>
    <w:rsid w:val="0081527A"/>
    <w:rsid w:val="008152B9"/>
    <w:rsid w:val="00815391"/>
    <w:rsid w:val="008153FE"/>
    <w:rsid w:val="00815500"/>
    <w:rsid w:val="0081565E"/>
    <w:rsid w:val="008156DE"/>
    <w:rsid w:val="00815E53"/>
    <w:rsid w:val="0081605A"/>
    <w:rsid w:val="008165A7"/>
    <w:rsid w:val="00816BCD"/>
    <w:rsid w:val="00817197"/>
    <w:rsid w:val="008175A7"/>
    <w:rsid w:val="008175B4"/>
    <w:rsid w:val="00817993"/>
    <w:rsid w:val="00817D7B"/>
    <w:rsid w:val="00817F3A"/>
    <w:rsid w:val="00820008"/>
    <w:rsid w:val="00820599"/>
    <w:rsid w:val="00820718"/>
    <w:rsid w:val="00820B9D"/>
    <w:rsid w:val="00820C34"/>
    <w:rsid w:val="00820FB3"/>
    <w:rsid w:val="00821046"/>
    <w:rsid w:val="008213FA"/>
    <w:rsid w:val="008214C6"/>
    <w:rsid w:val="008219F2"/>
    <w:rsid w:val="00821A57"/>
    <w:rsid w:val="00821FD8"/>
    <w:rsid w:val="0082251F"/>
    <w:rsid w:val="00822581"/>
    <w:rsid w:val="00822909"/>
    <w:rsid w:val="008229BE"/>
    <w:rsid w:val="00822AAE"/>
    <w:rsid w:val="00822B2D"/>
    <w:rsid w:val="00822D3A"/>
    <w:rsid w:val="00822EB8"/>
    <w:rsid w:val="00822FC9"/>
    <w:rsid w:val="00823085"/>
    <w:rsid w:val="00823088"/>
    <w:rsid w:val="0082309B"/>
    <w:rsid w:val="008233B9"/>
    <w:rsid w:val="00823B78"/>
    <w:rsid w:val="00823CA8"/>
    <w:rsid w:val="00823E4A"/>
    <w:rsid w:val="00824074"/>
    <w:rsid w:val="00824411"/>
    <w:rsid w:val="00824480"/>
    <w:rsid w:val="0082469F"/>
    <w:rsid w:val="008248F3"/>
    <w:rsid w:val="00824960"/>
    <w:rsid w:val="0082505B"/>
    <w:rsid w:val="00825358"/>
    <w:rsid w:val="00825477"/>
    <w:rsid w:val="0082590E"/>
    <w:rsid w:val="00825964"/>
    <w:rsid w:val="00825AAC"/>
    <w:rsid w:val="00825CAD"/>
    <w:rsid w:val="00825E1A"/>
    <w:rsid w:val="00825E1D"/>
    <w:rsid w:val="0082646D"/>
    <w:rsid w:val="00826688"/>
    <w:rsid w:val="008273DA"/>
    <w:rsid w:val="00827465"/>
    <w:rsid w:val="00827525"/>
    <w:rsid w:val="0082755C"/>
    <w:rsid w:val="0082762D"/>
    <w:rsid w:val="00827672"/>
    <w:rsid w:val="00827BD4"/>
    <w:rsid w:val="00827CCF"/>
    <w:rsid w:val="00827E84"/>
    <w:rsid w:val="00830981"/>
    <w:rsid w:val="008309F4"/>
    <w:rsid w:val="00830A19"/>
    <w:rsid w:val="00830ACE"/>
    <w:rsid w:val="008310C3"/>
    <w:rsid w:val="0083144D"/>
    <w:rsid w:val="008314AA"/>
    <w:rsid w:val="008315CA"/>
    <w:rsid w:val="008320C9"/>
    <w:rsid w:val="00832166"/>
    <w:rsid w:val="0083238A"/>
    <w:rsid w:val="0083286B"/>
    <w:rsid w:val="00832B9B"/>
    <w:rsid w:val="00832F2F"/>
    <w:rsid w:val="0083300F"/>
    <w:rsid w:val="00833473"/>
    <w:rsid w:val="00833658"/>
    <w:rsid w:val="00833876"/>
    <w:rsid w:val="0083399A"/>
    <w:rsid w:val="008339F2"/>
    <w:rsid w:val="00833C0B"/>
    <w:rsid w:val="00834212"/>
    <w:rsid w:val="00834534"/>
    <w:rsid w:val="008346B7"/>
    <w:rsid w:val="0083473D"/>
    <w:rsid w:val="008350AF"/>
    <w:rsid w:val="00835118"/>
    <w:rsid w:val="0083577B"/>
    <w:rsid w:val="00835ADF"/>
    <w:rsid w:val="00835CAB"/>
    <w:rsid w:val="00836073"/>
    <w:rsid w:val="008360BE"/>
    <w:rsid w:val="00836D14"/>
    <w:rsid w:val="0083703E"/>
    <w:rsid w:val="008371C5"/>
    <w:rsid w:val="008378C6"/>
    <w:rsid w:val="0084072C"/>
    <w:rsid w:val="00840CBF"/>
    <w:rsid w:val="00840E9D"/>
    <w:rsid w:val="008411B7"/>
    <w:rsid w:val="00841314"/>
    <w:rsid w:val="00841A5E"/>
    <w:rsid w:val="00841C7A"/>
    <w:rsid w:val="00841D70"/>
    <w:rsid w:val="008424DB"/>
    <w:rsid w:val="00842603"/>
    <w:rsid w:val="00842680"/>
    <w:rsid w:val="00842E14"/>
    <w:rsid w:val="00843310"/>
    <w:rsid w:val="008434E3"/>
    <w:rsid w:val="008437F7"/>
    <w:rsid w:val="0084442E"/>
    <w:rsid w:val="00844A66"/>
    <w:rsid w:val="00844E8E"/>
    <w:rsid w:val="008455DF"/>
    <w:rsid w:val="00845B51"/>
    <w:rsid w:val="00846002"/>
    <w:rsid w:val="008469A4"/>
    <w:rsid w:val="00846AC0"/>
    <w:rsid w:val="00846E80"/>
    <w:rsid w:val="00846F8A"/>
    <w:rsid w:val="0084768C"/>
    <w:rsid w:val="00847B77"/>
    <w:rsid w:val="00847E26"/>
    <w:rsid w:val="00847F14"/>
    <w:rsid w:val="008509BC"/>
    <w:rsid w:val="0085111C"/>
    <w:rsid w:val="0085145D"/>
    <w:rsid w:val="008514AF"/>
    <w:rsid w:val="00851695"/>
    <w:rsid w:val="00851845"/>
    <w:rsid w:val="00851958"/>
    <w:rsid w:val="0085210D"/>
    <w:rsid w:val="0085257B"/>
    <w:rsid w:val="0085294A"/>
    <w:rsid w:val="00852BA8"/>
    <w:rsid w:val="00852C88"/>
    <w:rsid w:val="00852CBE"/>
    <w:rsid w:val="00852DDE"/>
    <w:rsid w:val="00853080"/>
    <w:rsid w:val="00853332"/>
    <w:rsid w:val="008535C0"/>
    <w:rsid w:val="008539E9"/>
    <w:rsid w:val="00853AE5"/>
    <w:rsid w:val="00853C81"/>
    <w:rsid w:val="00853FEA"/>
    <w:rsid w:val="00854610"/>
    <w:rsid w:val="008548C6"/>
    <w:rsid w:val="00855125"/>
    <w:rsid w:val="00855659"/>
    <w:rsid w:val="00855CF2"/>
    <w:rsid w:val="00855ED9"/>
    <w:rsid w:val="0085676A"/>
    <w:rsid w:val="0085679B"/>
    <w:rsid w:val="00856E28"/>
    <w:rsid w:val="008572E5"/>
    <w:rsid w:val="00857736"/>
    <w:rsid w:val="00857E99"/>
    <w:rsid w:val="00857EFB"/>
    <w:rsid w:val="00860096"/>
    <w:rsid w:val="008600C0"/>
    <w:rsid w:val="008603D3"/>
    <w:rsid w:val="00860CCE"/>
    <w:rsid w:val="00861117"/>
    <w:rsid w:val="0086125D"/>
    <w:rsid w:val="008618F1"/>
    <w:rsid w:val="0086192E"/>
    <w:rsid w:val="00861F9E"/>
    <w:rsid w:val="0086218E"/>
    <w:rsid w:val="00863048"/>
    <w:rsid w:val="00863777"/>
    <w:rsid w:val="0086385E"/>
    <w:rsid w:val="00863BEB"/>
    <w:rsid w:val="00863F69"/>
    <w:rsid w:val="00863FA3"/>
    <w:rsid w:val="00864098"/>
    <w:rsid w:val="00864C84"/>
    <w:rsid w:val="0086522F"/>
    <w:rsid w:val="00865261"/>
    <w:rsid w:val="0086548C"/>
    <w:rsid w:val="0086558F"/>
    <w:rsid w:val="00865977"/>
    <w:rsid w:val="008659D1"/>
    <w:rsid w:val="00865AE7"/>
    <w:rsid w:val="00865CFE"/>
    <w:rsid w:val="00865F01"/>
    <w:rsid w:val="00865F3A"/>
    <w:rsid w:val="00866714"/>
    <w:rsid w:val="0086686F"/>
    <w:rsid w:val="008669AA"/>
    <w:rsid w:val="008669F4"/>
    <w:rsid w:val="00866AD2"/>
    <w:rsid w:val="00866EA6"/>
    <w:rsid w:val="008673D8"/>
    <w:rsid w:val="00867560"/>
    <w:rsid w:val="008675C1"/>
    <w:rsid w:val="00867CF3"/>
    <w:rsid w:val="00867DD3"/>
    <w:rsid w:val="0087029B"/>
    <w:rsid w:val="00870B75"/>
    <w:rsid w:val="00870E4A"/>
    <w:rsid w:val="00871252"/>
    <w:rsid w:val="00871460"/>
    <w:rsid w:val="0087190C"/>
    <w:rsid w:val="00871A32"/>
    <w:rsid w:val="00871C0B"/>
    <w:rsid w:val="0087240D"/>
    <w:rsid w:val="00872422"/>
    <w:rsid w:val="00873043"/>
    <w:rsid w:val="008731A0"/>
    <w:rsid w:val="00873461"/>
    <w:rsid w:val="008739DB"/>
    <w:rsid w:val="00873AB3"/>
    <w:rsid w:val="00874195"/>
    <w:rsid w:val="008742EB"/>
    <w:rsid w:val="00874440"/>
    <w:rsid w:val="008749AD"/>
    <w:rsid w:val="00874A60"/>
    <w:rsid w:val="00874B42"/>
    <w:rsid w:val="00874CC4"/>
    <w:rsid w:val="00874DEC"/>
    <w:rsid w:val="00874EBF"/>
    <w:rsid w:val="00876096"/>
    <w:rsid w:val="008768A1"/>
    <w:rsid w:val="008769F2"/>
    <w:rsid w:val="00877039"/>
    <w:rsid w:val="008771B4"/>
    <w:rsid w:val="0087762D"/>
    <w:rsid w:val="008776B6"/>
    <w:rsid w:val="00877B86"/>
    <w:rsid w:val="00877DFF"/>
    <w:rsid w:val="0088013B"/>
    <w:rsid w:val="00880309"/>
    <w:rsid w:val="00880338"/>
    <w:rsid w:val="008814C1"/>
    <w:rsid w:val="00881632"/>
    <w:rsid w:val="00881737"/>
    <w:rsid w:val="00881EF5"/>
    <w:rsid w:val="008820C1"/>
    <w:rsid w:val="008820FF"/>
    <w:rsid w:val="008827B8"/>
    <w:rsid w:val="00882BC6"/>
    <w:rsid w:val="00882DA9"/>
    <w:rsid w:val="008833D6"/>
    <w:rsid w:val="00883440"/>
    <w:rsid w:val="00883501"/>
    <w:rsid w:val="00883738"/>
    <w:rsid w:val="0088383B"/>
    <w:rsid w:val="008838EA"/>
    <w:rsid w:val="00883BCF"/>
    <w:rsid w:val="00883EA9"/>
    <w:rsid w:val="00884904"/>
    <w:rsid w:val="008849B7"/>
    <w:rsid w:val="00884B7D"/>
    <w:rsid w:val="00884FC8"/>
    <w:rsid w:val="00885341"/>
    <w:rsid w:val="00885C6F"/>
    <w:rsid w:val="008860E7"/>
    <w:rsid w:val="0088645D"/>
    <w:rsid w:val="008864CC"/>
    <w:rsid w:val="00886679"/>
    <w:rsid w:val="008869F8"/>
    <w:rsid w:val="00886B49"/>
    <w:rsid w:val="00886B6D"/>
    <w:rsid w:val="00886D06"/>
    <w:rsid w:val="00886F92"/>
    <w:rsid w:val="008873A5"/>
    <w:rsid w:val="00887435"/>
    <w:rsid w:val="0088765B"/>
    <w:rsid w:val="0088771E"/>
    <w:rsid w:val="008877BE"/>
    <w:rsid w:val="008879D5"/>
    <w:rsid w:val="00887E24"/>
    <w:rsid w:val="00887E6D"/>
    <w:rsid w:val="00887EB1"/>
    <w:rsid w:val="0089018D"/>
    <w:rsid w:val="0089019B"/>
    <w:rsid w:val="0089080C"/>
    <w:rsid w:val="00890EE8"/>
    <w:rsid w:val="008911AD"/>
    <w:rsid w:val="00891233"/>
    <w:rsid w:val="00891454"/>
    <w:rsid w:val="00891908"/>
    <w:rsid w:val="00891A79"/>
    <w:rsid w:val="00891C48"/>
    <w:rsid w:val="00891D6E"/>
    <w:rsid w:val="00891D7F"/>
    <w:rsid w:val="00892071"/>
    <w:rsid w:val="00892A13"/>
    <w:rsid w:val="00892B55"/>
    <w:rsid w:val="00892B97"/>
    <w:rsid w:val="00892B99"/>
    <w:rsid w:val="008931AD"/>
    <w:rsid w:val="00893821"/>
    <w:rsid w:val="00893837"/>
    <w:rsid w:val="00893B08"/>
    <w:rsid w:val="00894086"/>
    <w:rsid w:val="008948ED"/>
    <w:rsid w:val="00894DED"/>
    <w:rsid w:val="00894DF7"/>
    <w:rsid w:val="00894E38"/>
    <w:rsid w:val="00895704"/>
    <w:rsid w:val="008958E1"/>
    <w:rsid w:val="00895BD3"/>
    <w:rsid w:val="00896639"/>
    <w:rsid w:val="0089666C"/>
    <w:rsid w:val="00896C61"/>
    <w:rsid w:val="00896D93"/>
    <w:rsid w:val="00897934"/>
    <w:rsid w:val="00897C9C"/>
    <w:rsid w:val="008A0264"/>
    <w:rsid w:val="008A02DC"/>
    <w:rsid w:val="008A054D"/>
    <w:rsid w:val="008A05B4"/>
    <w:rsid w:val="008A0814"/>
    <w:rsid w:val="008A0950"/>
    <w:rsid w:val="008A0BA9"/>
    <w:rsid w:val="008A0D1B"/>
    <w:rsid w:val="008A1117"/>
    <w:rsid w:val="008A149F"/>
    <w:rsid w:val="008A161D"/>
    <w:rsid w:val="008A178C"/>
    <w:rsid w:val="008A1D0C"/>
    <w:rsid w:val="008A1D50"/>
    <w:rsid w:val="008A1E66"/>
    <w:rsid w:val="008A1F61"/>
    <w:rsid w:val="008A1F94"/>
    <w:rsid w:val="008A1F9C"/>
    <w:rsid w:val="008A2239"/>
    <w:rsid w:val="008A231E"/>
    <w:rsid w:val="008A24F2"/>
    <w:rsid w:val="008A25E7"/>
    <w:rsid w:val="008A264B"/>
    <w:rsid w:val="008A26DF"/>
    <w:rsid w:val="008A27EF"/>
    <w:rsid w:val="008A2A6D"/>
    <w:rsid w:val="008A2B7D"/>
    <w:rsid w:val="008A2CC1"/>
    <w:rsid w:val="008A3034"/>
    <w:rsid w:val="008A30AC"/>
    <w:rsid w:val="008A3242"/>
    <w:rsid w:val="008A40DD"/>
    <w:rsid w:val="008A43FF"/>
    <w:rsid w:val="008A4577"/>
    <w:rsid w:val="008A45AA"/>
    <w:rsid w:val="008A47E4"/>
    <w:rsid w:val="008A4901"/>
    <w:rsid w:val="008A49FA"/>
    <w:rsid w:val="008A4B81"/>
    <w:rsid w:val="008A541E"/>
    <w:rsid w:val="008A553D"/>
    <w:rsid w:val="008A5668"/>
    <w:rsid w:val="008A58C5"/>
    <w:rsid w:val="008A591D"/>
    <w:rsid w:val="008A5BAA"/>
    <w:rsid w:val="008A63A7"/>
    <w:rsid w:val="008A64D8"/>
    <w:rsid w:val="008A66B4"/>
    <w:rsid w:val="008A6990"/>
    <w:rsid w:val="008A7031"/>
    <w:rsid w:val="008A719A"/>
    <w:rsid w:val="008A732D"/>
    <w:rsid w:val="008A762F"/>
    <w:rsid w:val="008A7686"/>
    <w:rsid w:val="008A76C9"/>
    <w:rsid w:val="008A7C64"/>
    <w:rsid w:val="008A7D15"/>
    <w:rsid w:val="008B0238"/>
    <w:rsid w:val="008B05D7"/>
    <w:rsid w:val="008B092A"/>
    <w:rsid w:val="008B0C27"/>
    <w:rsid w:val="008B0C33"/>
    <w:rsid w:val="008B0CDE"/>
    <w:rsid w:val="008B0D16"/>
    <w:rsid w:val="008B0F90"/>
    <w:rsid w:val="008B11DF"/>
    <w:rsid w:val="008B12C1"/>
    <w:rsid w:val="008B134A"/>
    <w:rsid w:val="008B19E2"/>
    <w:rsid w:val="008B1D2F"/>
    <w:rsid w:val="008B1E0A"/>
    <w:rsid w:val="008B1FED"/>
    <w:rsid w:val="008B2C8C"/>
    <w:rsid w:val="008B2CC0"/>
    <w:rsid w:val="008B38C4"/>
    <w:rsid w:val="008B4040"/>
    <w:rsid w:val="008B4202"/>
    <w:rsid w:val="008B4602"/>
    <w:rsid w:val="008B4E88"/>
    <w:rsid w:val="008B532F"/>
    <w:rsid w:val="008B539F"/>
    <w:rsid w:val="008B55A2"/>
    <w:rsid w:val="008B5651"/>
    <w:rsid w:val="008B581F"/>
    <w:rsid w:val="008B590B"/>
    <w:rsid w:val="008B590C"/>
    <w:rsid w:val="008B6125"/>
    <w:rsid w:val="008B7D5A"/>
    <w:rsid w:val="008B7DD4"/>
    <w:rsid w:val="008C0416"/>
    <w:rsid w:val="008C0797"/>
    <w:rsid w:val="008C08C1"/>
    <w:rsid w:val="008C0B3D"/>
    <w:rsid w:val="008C0BA4"/>
    <w:rsid w:val="008C0BE1"/>
    <w:rsid w:val="008C0F6A"/>
    <w:rsid w:val="008C0F91"/>
    <w:rsid w:val="008C1050"/>
    <w:rsid w:val="008C108A"/>
    <w:rsid w:val="008C1765"/>
    <w:rsid w:val="008C18CE"/>
    <w:rsid w:val="008C1CCF"/>
    <w:rsid w:val="008C1FC8"/>
    <w:rsid w:val="008C22AA"/>
    <w:rsid w:val="008C239F"/>
    <w:rsid w:val="008C2579"/>
    <w:rsid w:val="008C25B4"/>
    <w:rsid w:val="008C26FB"/>
    <w:rsid w:val="008C289B"/>
    <w:rsid w:val="008C28CC"/>
    <w:rsid w:val="008C2D7E"/>
    <w:rsid w:val="008C31B0"/>
    <w:rsid w:val="008C3271"/>
    <w:rsid w:val="008C3CE0"/>
    <w:rsid w:val="008C4216"/>
    <w:rsid w:val="008C483B"/>
    <w:rsid w:val="008C4C95"/>
    <w:rsid w:val="008C5103"/>
    <w:rsid w:val="008C566C"/>
    <w:rsid w:val="008C56DD"/>
    <w:rsid w:val="008C599F"/>
    <w:rsid w:val="008C6A66"/>
    <w:rsid w:val="008C6AAF"/>
    <w:rsid w:val="008C6AC7"/>
    <w:rsid w:val="008C6C23"/>
    <w:rsid w:val="008C6CB8"/>
    <w:rsid w:val="008C6FDA"/>
    <w:rsid w:val="008C708A"/>
    <w:rsid w:val="008C70DA"/>
    <w:rsid w:val="008C715C"/>
    <w:rsid w:val="008C74F9"/>
    <w:rsid w:val="008C750E"/>
    <w:rsid w:val="008C7E53"/>
    <w:rsid w:val="008D0153"/>
    <w:rsid w:val="008D04BB"/>
    <w:rsid w:val="008D0622"/>
    <w:rsid w:val="008D066D"/>
    <w:rsid w:val="008D0682"/>
    <w:rsid w:val="008D0A6D"/>
    <w:rsid w:val="008D0BA8"/>
    <w:rsid w:val="008D0F37"/>
    <w:rsid w:val="008D1050"/>
    <w:rsid w:val="008D1410"/>
    <w:rsid w:val="008D14D4"/>
    <w:rsid w:val="008D16B7"/>
    <w:rsid w:val="008D17D3"/>
    <w:rsid w:val="008D1B07"/>
    <w:rsid w:val="008D1CAA"/>
    <w:rsid w:val="008D2476"/>
    <w:rsid w:val="008D24AF"/>
    <w:rsid w:val="008D266E"/>
    <w:rsid w:val="008D274A"/>
    <w:rsid w:val="008D274F"/>
    <w:rsid w:val="008D276F"/>
    <w:rsid w:val="008D2822"/>
    <w:rsid w:val="008D3521"/>
    <w:rsid w:val="008D38AA"/>
    <w:rsid w:val="008D3BCE"/>
    <w:rsid w:val="008D40E9"/>
    <w:rsid w:val="008D4FB1"/>
    <w:rsid w:val="008D5254"/>
    <w:rsid w:val="008D5260"/>
    <w:rsid w:val="008D5571"/>
    <w:rsid w:val="008D6003"/>
    <w:rsid w:val="008D629B"/>
    <w:rsid w:val="008D6367"/>
    <w:rsid w:val="008D6C21"/>
    <w:rsid w:val="008D6FC1"/>
    <w:rsid w:val="008D6FCA"/>
    <w:rsid w:val="008D73BA"/>
    <w:rsid w:val="008D7473"/>
    <w:rsid w:val="008D747E"/>
    <w:rsid w:val="008D7779"/>
    <w:rsid w:val="008D7887"/>
    <w:rsid w:val="008D7B62"/>
    <w:rsid w:val="008D7D7B"/>
    <w:rsid w:val="008E000C"/>
    <w:rsid w:val="008E033C"/>
    <w:rsid w:val="008E0861"/>
    <w:rsid w:val="008E0B6D"/>
    <w:rsid w:val="008E0DB4"/>
    <w:rsid w:val="008E0E5E"/>
    <w:rsid w:val="008E1074"/>
    <w:rsid w:val="008E11E6"/>
    <w:rsid w:val="008E1797"/>
    <w:rsid w:val="008E1BB8"/>
    <w:rsid w:val="008E219D"/>
    <w:rsid w:val="008E23E2"/>
    <w:rsid w:val="008E2468"/>
    <w:rsid w:val="008E254C"/>
    <w:rsid w:val="008E26DF"/>
    <w:rsid w:val="008E2905"/>
    <w:rsid w:val="008E2AC6"/>
    <w:rsid w:val="008E2C4E"/>
    <w:rsid w:val="008E2EB6"/>
    <w:rsid w:val="008E3175"/>
    <w:rsid w:val="008E349D"/>
    <w:rsid w:val="008E35C2"/>
    <w:rsid w:val="008E3E88"/>
    <w:rsid w:val="008E457A"/>
    <w:rsid w:val="008E4DBB"/>
    <w:rsid w:val="008E4FF7"/>
    <w:rsid w:val="008E5084"/>
    <w:rsid w:val="008E54F6"/>
    <w:rsid w:val="008E553B"/>
    <w:rsid w:val="008E593F"/>
    <w:rsid w:val="008E5AC4"/>
    <w:rsid w:val="008E5BE4"/>
    <w:rsid w:val="008E5C32"/>
    <w:rsid w:val="008E5DAD"/>
    <w:rsid w:val="008E61A7"/>
    <w:rsid w:val="008E6377"/>
    <w:rsid w:val="008E6887"/>
    <w:rsid w:val="008E69E9"/>
    <w:rsid w:val="008E702D"/>
    <w:rsid w:val="008E705E"/>
    <w:rsid w:val="008E7225"/>
    <w:rsid w:val="008E7312"/>
    <w:rsid w:val="008E7694"/>
    <w:rsid w:val="008E7904"/>
    <w:rsid w:val="008E7C00"/>
    <w:rsid w:val="008E7D6E"/>
    <w:rsid w:val="008F01A8"/>
    <w:rsid w:val="008F0209"/>
    <w:rsid w:val="008F02BD"/>
    <w:rsid w:val="008F06C4"/>
    <w:rsid w:val="008F0789"/>
    <w:rsid w:val="008F090A"/>
    <w:rsid w:val="008F0A60"/>
    <w:rsid w:val="008F0AA0"/>
    <w:rsid w:val="008F0B06"/>
    <w:rsid w:val="008F0B8F"/>
    <w:rsid w:val="008F0C06"/>
    <w:rsid w:val="008F12A4"/>
    <w:rsid w:val="008F135E"/>
    <w:rsid w:val="008F158F"/>
    <w:rsid w:val="008F1B58"/>
    <w:rsid w:val="008F1E44"/>
    <w:rsid w:val="008F1F30"/>
    <w:rsid w:val="008F1FA9"/>
    <w:rsid w:val="008F2669"/>
    <w:rsid w:val="008F3183"/>
    <w:rsid w:val="008F356C"/>
    <w:rsid w:val="008F36E3"/>
    <w:rsid w:val="008F3898"/>
    <w:rsid w:val="008F3A01"/>
    <w:rsid w:val="008F3AD4"/>
    <w:rsid w:val="008F3FE7"/>
    <w:rsid w:val="008F4087"/>
    <w:rsid w:val="008F4150"/>
    <w:rsid w:val="008F4F0B"/>
    <w:rsid w:val="008F5680"/>
    <w:rsid w:val="008F57F7"/>
    <w:rsid w:val="008F5931"/>
    <w:rsid w:val="008F5AC4"/>
    <w:rsid w:val="008F5B80"/>
    <w:rsid w:val="008F5C96"/>
    <w:rsid w:val="008F616A"/>
    <w:rsid w:val="008F67A1"/>
    <w:rsid w:val="008F68EE"/>
    <w:rsid w:val="008F6946"/>
    <w:rsid w:val="008F69C4"/>
    <w:rsid w:val="008F6B0F"/>
    <w:rsid w:val="008F6FE3"/>
    <w:rsid w:val="008F7658"/>
    <w:rsid w:val="008F7FB5"/>
    <w:rsid w:val="008F7FB7"/>
    <w:rsid w:val="009000C0"/>
    <w:rsid w:val="009000D9"/>
    <w:rsid w:val="00900121"/>
    <w:rsid w:val="009001BF"/>
    <w:rsid w:val="009005EB"/>
    <w:rsid w:val="009006D2"/>
    <w:rsid w:val="0090098D"/>
    <w:rsid w:val="00900A0E"/>
    <w:rsid w:val="009011BD"/>
    <w:rsid w:val="00901782"/>
    <w:rsid w:val="00901B46"/>
    <w:rsid w:val="00901D93"/>
    <w:rsid w:val="00902153"/>
    <w:rsid w:val="00902184"/>
    <w:rsid w:val="00902889"/>
    <w:rsid w:val="00903566"/>
    <w:rsid w:val="00903BBC"/>
    <w:rsid w:val="00903C03"/>
    <w:rsid w:val="00903C6E"/>
    <w:rsid w:val="00903C90"/>
    <w:rsid w:val="00904728"/>
    <w:rsid w:val="00905074"/>
    <w:rsid w:val="009054E1"/>
    <w:rsid w:val="009057C3"/>
    <w:rsid w:val="009059C7"/>
    <w:rsid w:val="00905A1F"/>
    <w:rsid w:val="00905A22"/>
    <w:rsid w:val="00905BEF"/>
    <w:rsid w:val="00906671"/>
    <w:rsid w:val="009068A5"/>
    <w:rsid w:val="00906A7C"/>
    <w:rsid w:val="00906A99"/>
    <w:rsid w:val="00906B49"/>
    <w:rsid w:val="00906C1D"/>
    <w:rsid w:val="00906C74"/>
    <w:rsid w:val="00906C7C"/>
    <w:rsid w:val="00906D1B"/>
    <w:rsid w:val="00906F4A"/>
    <w:rsid w:val="00907031"/>
    <w:rsid w:val="009073E7"/>
    <w:rsid w:val="00907886"/>
    <w:rsid w:val="00907B96"/>
    <w:rsid w:val="00910195"/>
    <w:rsid w:val="00910591"/>
    <w:rsid w:val="00910822"/>
    <w:rsid w:val="00910DC2"/>
    <w:rsid w:val="00910DEF"/>
    <w:rsid w:val="0091127D"/>
    <w:rsid w:val="00911AB7"/>
    <w:rsid w:val="00911BFA"/>
    <w:rsid w:val="00911E10"/>
    <w:rsid w:val="0091220E"/>
    <w:rsid w:val="00912320"/>
    <w:rsid w:val="00912DA3"/>
    <w:rsid w:val="00913064"/>
    <w:rsid w:val="00913320"/>
    <w:rsid w:val="00913F1A"/>
    <w:rsid w:val="00914076"/>
    <w:rsid w:val="0091437B"/>
    <w:rsid w:val="00914450"/>
    <w:rsid w:val="0091486D"/>
    <w:rsid w:val="00914A23"/>
    <w:rsid w:val="00914C27"/>
    <w:rsid w:val="00914F46"/>
    <w:rsid w:val="00915285"/>
    <w:rsid w:val="009152F3"/>
    <w:rsid w:val="0091539D"/>
    <w:rsid w:val="0091572D"/>
    <w:rsid w:val="00915CB5"/>
    <w:rsid w:val="00915CE8"/>
    <w:rsid w:val="0091648C"/>
    <w:rsid w:val="009168CD"/>
    <w:rsid w:val="00916AF1"/>
    <w:rsid w:val="00916FC4"/>
    <w:rsid w:val="009170B1"/>
    <w:rsid w:val="0091711D"/>
    <w:rsid w:val="009175D7"/>
    <w:rsid w:val="009176D2"/>
    <w:rsid w:val="009200C5"/>
    <w:rsid w:val="009205D8"/>
    <w:rsid w:val="00920818"/>
    <w:rsid w:val="0092099F"/>
    <w:rsid w:val="00920C9D"/>
    <w:rsid w:val="009210AB"/>
    <w:rsid w:val="00921108"/>
    <w:rsid w:val="00921163"/>
    <w:rsid w:val="009212F8"/>
    <w:rsid w:val="00921366"/>
    <w:rsid w:val="00921434"/>
    <w:rsid w:val="009219E9"/>
    <w:rsid w:val="009223AA"/>
    <w:rsid w:val="009223D1"/>
    <w:rsid w:val="009225BF"/>
    <w:rsid w:val="009226C0"/>
    <w:rsid w:val="00922A8A"/>
    <w:rsid w:val="00922E96"/>
    <w:rsid w:val="00923059"/>
    <w:rsid w:val="009231E0"/>
    <w:rsid w:val="009233BB"/>
    <w:rsid w:val="009234F5"/>
    <w:rsid w:val="00923633"/>
    <w:rsid w:val="00923A5B"/>
    <w:rsid w:val="00923BFB"/>
    <w:rsid w:val="00923D00"/>
    <w:rsid w:val="00923E9B"/>
    <w:rsid w:val="00924098"/>
    <w:rsid w:val="0092430A"/>
    <w:rsid w:val="0092452B"/>
    <w:rsid w:val="0092492B"/>
    <w:rsid w:val="00924C9A"/>
    <w:rsid w:val="00925299"/>
    <w:rsid w:val="00925323"/>
    <w:rsid w:val="009254E5"/>
    <w:rsid w:val="009255DC"/>
    <w:rsid w:val="00925769"/>
    <w:rsid w:val="0092588A"/>
    <w:rsid w:val="00925A77"/>
    <w:rsid w:val="00925D3C"/>
    <w:rsid w:val="00926228"/>
    <w:rsid w:val="00926229"/>
    <w:rsid w:val="0092674D"/>
    <w:rsid w:val="00926773"/>
    <w:rsid w:val="00926FAE"/>
    <w:rsid w:val="0092703E"/>
    <w:rsid w:val="00927423"/>
    <w:rsid w:val="0092790E"/>
    <w:rsid w:val="00927ADF"/>
    <w:rsid w:val="00927D10"/>
    <w:rsid w:val="00927D88"/>
    <w:rsid w:val="0093000E"/>
    <w:rsid w:val="00930164"/>
    <w:rsid w:val="00930BE2"/>
    <w:rsid w:val="00930E15"/>
    <w:rsid w:val="00931062"/>
    <w:rsid w:val="0093111D"/>
    <w:rsid w:val="009312E9"/>
    <w:rsid w:val="0093160D"/>
    <w:rsid w:val="00931741"/>
    <w:rsid w:val="00931EC5"/>
    <w:rsid w:val="00932793"/>
    <w:rsid w:val="00932A0E"/>
    <w:rsid w:val="00932FD1"/>
    <w:rsid w:val="00933012"/>
    <w:rsid w:val="009330CA"/>
    <w:rsid w:val="009330F6"/>
    <w:rsid w:val="00933221"/>
    <w:rsid w:val="00933999"/>
    <w:rsid w:val="00933CA3"/>
    <w:rsid w:val="009341B7"/>
    <w:rsid w:val="00934209"/>
    <w:rsid w:val="00934227"/>
    <w:rsid w:val="00934951"/>
    <w:rsid w:val="00934A66"/>
    <w:rsid w:val="00934AD6"/>
    <w:rsid w:val="00934E85"/>
    <w:rsid w:val="00934F4F"/>
    <w:rsid w:val="00935865"/>
    <w:rsid w:val="00935C50"/>
    <w:rsid w:val="0093625D"/>
    <w:rsid w:val="00936539"/>
    <w:rsid w:val="009366F2"/>
    <w:rsid w:val="00936B53"/>
    <w:rsid w:val="00936E42"/>
    <w:rsid w:val="00937898"/>
    <w:rsid w:val="009379BD"/>
    <w:rsid w:val="00937C4F"/>
    <w:rsid w:val="0094082B"/>
    <w:rsid w:val="00940858"/>
    <w:rsid w:val="00940CCE"/>
    <w:rsid w:val="00940DAF"/>
    <w:rsid w:val="0094132C"/>
    <w:rsid w:val="00941567"/>
    <w:rsid w:val="00941681"/>
    <w:rsid w:val="00941C26"/>
    <w:rsid w:val="009420A8"/>
    <w:rsid w:val="00942428"/>
    <w:rsid w:val="00942C53"/>
    <w:rsid w:val="00942C5E"/>
    <w:rsid w:val="00942D81"/>
    <w:rsid w:val="00942E6D"/>
    <w:rsid w:val="00942FD7"/>
    <w:rsid w:val="009435B8"/>
    <w:rsid w:val="00943758"/>
    <w:rsid w:val="009437EB"/>
    <w:rsid w:val="00943805"/>
    <w:rsid w:val="00943A31"/>
    <w:rsid w:val="00943ED7"/>
    <w:rsid w:val="00944167"/>
    <w:rsid w:val="00944349"/>
    <w:rsid w:val="00944577"/>
    <w:rsid w:val="00944ED3"/>
    <w:rsid w:val="0094515B"/>
    <w:rsid w:val="009452D0"/>
    <w:rsid w:val="009452E1"/>
    <w:rsid w:val="009459EC"/>
    <w:rsid w:val="00945C83"/>
    <w:rsid w:val="009461AF"/>
    <w:rsid w:val="0094627D"/>
    <w:rsid w:val="00946C72"/>
    <w:rsid w:val="00946E6D"/>
    <w:rsid w:val="00947465"/>
    <w:rsid w:val="00947676"/>
    <w:rsid w:val="00947C95"/>
    <w:rsid w:val="00950423"/>
    <w:rsid w:val="00950B29"/>
    <w:rsid w:val="00950C05"/>
    <w:rsid w:val="00951019"/>
    <w:rsid w:val="0095134B"/>
    <w:rsid w:val="00951477"/>
    <w:rsid w:val="00951C6F"/>
    <w:rsid w:val="00951F54"/>
    <w:rsid w:val="00952071"/>
    <w:rsid w:val="00952132"/>
    <w:rsid w:val="009523B6"/>
    <w:rsid w:val="0095251B"/>
    <w:rsid w:val="00952A6F"/>
    <w:rsid w:val="00952F98"/>
    <w:rsid w:val="00952FF9"/>
    <w:rsid w:val="0095343A"/>
    <w:rsid w:val="009534B9"/>
    <w:rsid w:val="009536A1"/>
    <w:rsid w:val="00953891"/>
    <w:rsid w:val="009539BE"/>
    <w:rsid w:val="00953A2E"/>
    <w:rsid w:val="00953CD7"/>
    <w:rsid w:val="00953CE3"/>
    <w:rsid w:val="00953DB2"/>
    <w:rsid w:val="00954185"/>
    <w:rsid w:val="009542FC"/>
    <w:rsid w:val="00954336"/>
    <w:rsid w:val="0095446D"/>
    <w:rsid w:val="0095452B"/>
    <w:rsid w:val="009545CA"/>
    <w:rsid w:val="00954B4A"/>
    <w:rsid w:val="00955147"/>
    <w:rsid w:val="009559C9"/>
    <w:rsid w:val="00955A35"/>
    <w:rsid w:val="00955DEA"/>
    <w:rsid w:val="009562F6"/>
    <w:rsid w:val="009564CC"/>
    <w:rsid w:val="00956713"/>
    <w:rsid w:val="009569C6"/>
    <w:rsid w:val="00957414"/>
    <w:rsid w:val="0095759E"/>
    <w:rsid w:val="009576DE"/>
    <w:rsid w:val="00957DD4"/>
    <w:rsid w:val="00960007"/>
    <w:rsid w:val="009609C0"/>
    <w:rsid w:val="00961454"/>
    <w:rsid w:val="00961B7A"/>
    <w:rsid w:val="00961DB3"/>
    <w:rsid w:val="00961F48"/>
    <w:rsid w:val="00961F79"/>
    <w:rsid w:val="00962A80"/>
    <w:rsid w:val="00962AAD"/>
    <w:rsid w:val="00962B07"/>
    <w:rsid w:val="00962EA2"/>
    <w:rsid w:val="00962F2C"/>
    <w:rsid w:val="00962FC9"/>
    <w:rsid w:val="0096318A"/>
    <w:rsid w:val="00963218"/>
    <w:rsid w:val="009636EF"/>
    <w:rsid w:val="00963859"/>
    <w:rsid w:val="00963C2D"/>
    <w:rsid w:val="0096419F"/>
    <w:rsid w:val="00964450"/>
    <w:rsid w:val="0096471A"/>
    <w:rsid w:val="009647BE"/>
    <w:rsid w:val="00964E47"/>
    <w:rsid w:val="00964F36"/>
    <w:rsid w:val="00965381"/>
    <w:rsid w:val="009654B6"/>
    <w:rsid w:val="0096559F"/>
    <w:rsid w:val="00965823"/>
    <w:rsid w:val="00965B87"/>
    <w:rsid w:val="00966762"/>
    <w:rsid w:val="00966F6C"/>
    <w:rsid w:val="009671B1"/>
    <w:rsid w:val="0096747C"/>
    <w:rsid w:val="00967975"/>
    <w:rsid w:val="009679E5"/>
    <w:rsid w:val="00967B77"/>
    <w:rsid w:val="00967C55"/>
    <w:rsid w:val="00967D14"/>
    <w:rsid w:val="00967E9C"/>
    <w:rsid w:val="00970108"/>
    <w:rsid w:val="009702FA"/>
    <w:rsid w:val="0097074B"/>
    <w:rsid w:val="00970AE4"/>
    <w:rsid w:val="00971467"/>
    <w:rsid w:val="0097158B"/>
    <w:rsid w:val="009717F5"/>
    <w:rsid w:val="00971CEE"/>
    <w:rsid w:val="00971D07"/>
    <w:rsid w:val="00972008"/>
    <w:rsid w:val="0097251E"/>
    <w:rsid w:val="0097253A"/>
    <w:rsid w:val="0097280B"/>
    <w:rsid w:val="009728BA"/>
    <w:rsid w:val="00972BE4"/>
    <w:rsid w:val="00973140"/>
    <w:rsid w:val="00973673"/>
    <w:rsid w:val="00973775"/>
    <w:rsid w:val="0097379C"/>
    <w:rsid w:val="00973A49"/>
    <w:rsid w:val="00973BE2"/>
    <w:rsid w:val="00973CC6"/>
    <w:rsid w:val="00973E6F"/>
    <w:rsid w:val="0097401A"/>
    <w:rsid w:val="00974111"/>
    <w:rsid w:val="00974280"/>
    <w:rsid w:val="009744A0"/>
    <w:rsid w:val="0097488A"/>
    <w:rsid w:val="009749C7"/>
    <w:rsid w:val="00974AB1"/>
    <w:rsid w:val="00974AE6"/>
    <w:rsid w:val="009756D3"/>
    <w:rsid w:val="00975B16"/>
    <w:rsid w:val="009763AF"/>
    <w:rsid w:val="009765CD"/>
    <w:rsid w:val="009768CB"/>
    <w:rsid w:val="00976A4C"/>
    <w:rsid w:val="00976DC3"/>
    <w:rsid w:val="00977051"/>
    <w:rsid w:val="00977102"/>
    <w:rsid w:val="009771A2"/>
    <w:rsid w:val="00977995"/>
    <w:rsid w:val="00977AF2"/>
    <w:rsid w:val="00980706"/>
    <w:rsid w:val="00980789"/>
    <w:rsid w:val="009807F8"/>
    <w:rsid w:val="00980C3E"/>
    <w:rsid w:val="00981754"/>
    <w:rsid w:val="00981AA9"/>
    <w:rsid w:val="00982174"/>
    <w:rsid w:val="00982786"/>
    <w:rsid w:val="009827FF"/>
    <w:rsid w:val="009829E8"/>
    <w:rsid w:val="00982DDB"/>
    <w:rsid w:val="00982FC7"/>
    <w:rsid w:val="0098316C"/>
    <w:rsid w:val="0098339D"/>
    <w:rsid w:val="009834BF"/>
    <w:rsid w:val="00983A2C"/>
    <w:rsid w:val="00983FF1"/>
    <w:rsid w:val="00984172"/>
    <w:rsid w:val="00984698"/>
    <w:rsid w:val="00984C81"/>
    <w:rsid w:val="00984D2D"/>
    <w:rsid w:val="00984F28"/>
    <w:rsid w:val="0098593C"/>
    <w:rsid w:val="00985A92"/>
    <w:rsid w:val="0098603C"/>
    <w:rsid w:val="00986340"/>
    <w:rsid w:val="00986EDD"/>
    <w:rsid w:val="0098723E"/>
    <w:rsid w:val="009873F3"/>
    <w:rsid w:val="009874BB"/>
    <w:rsid w:val="00987622"/>
    <w:rsid w:val="00987739"/>
    <w:rsid w:val="00987948"/>
    <w:rsid w:val="00987BF7"/>
    <w:rsid w:val="00990049"/>
    <w:rsid w:val="00990371"/>
    <w:rsid w:val="00990733"/>
    <w:rsid w:val="009908D8"/>
    <w:rsid w:val="00990CC6"/>
    <w:rsid w:val="00990D1A"/>
    <w:rsid w:val="0099102F"/>
    <w:rsid w:val="0099117D"/>
    <w:rsid w:val="009911EC"/>
    <w:rsid w:val="009916A2"/>
    <w:rsid w:val="00991751"/>
    <w:rsid w:val="009919DB"/>
    <w:rsid w:val="00991C0E"/>
    <w:rsid w:val="00991C54"/>
    <w:rsid w:val="009923CF"/>
    <w:rsid w:val="009928B0"/>
    <w:rsid w:val="00993367"/>
    <w:rsid w:val="009934CA"/>
    <w:rsid w:val="0099388E"/>
    <w:rsid w:val="00993A67"/>
    <w:rsid w:val="00993B4C"/>
    <w:rsid w:val="009945EF"/>
    <w:rsid w:val="0099471A"/>
    <w:rsid w:val="00994A38"/>
    <w:rsid w:val="00994B9D"/>
    <w:rsid w:val="0099509A"/>
    <w:rsid w:val="009950E7"/>
    <w:rsid w:val="00995216"/>
    <w:rsid w:val="009952DB"/>
    <w:rsid w:val="00995CE4"/>
    <w:rsid w:val="00995D00"/>
    <w:rsid w:val="009960D3"/>
    <w:rsid w:val="00996276"/>
    <w:rsid w:val="00996682"/>
    <w:rsid w:val="00996C5E"/>
    <w:rsid w:val="009972CF"/>
    <w:rsid w:val="00997925"/>
    <w:rsid w:val="009A030A"/>
    <w:rsid w:val="009A0354"/>
    <w:rsid w:val="009A05F0"/>
    <w:rsid w:val="009A0AAE"/>
    <w:rsid w:val="009A0CCD"/>
    <w:rsid w:val="009A0D58"/>
    <w:rsid w:val="009A0D85"/>
    <w:rsid w:val="009A0F70"/>
    <w:rsid w:val="009A176A"/>
    <w:rsid w:val="009A1EBE"/>
    <w:rsid w:val="009A21DB"/>
    <w:rsid w:val="009A2B05"/>
    <w:rsid w:val="009A2B13"/>
    <w:rsid w:val="009A2BDB"/>
    <w:rsid w:val="009A2D45"/>
    <w:rsid w:val="009A308B"/>
    <w:rsid w:val="009A322D"/>
    <w:rsid w:val="009A3857"/>
    <w:rsid w:val="009A3CBD"/>
    <w:rsid w:val="009A3D3E"/>
    <w:rsid w:val="009A4136"/>
    <w:rsid w:val="009A47DB"/>
    <w:rsid w:val="009A4C73"/>
    <w:rsid w:val="009A5431"/>
    <w:rsid w:val="009A58EE"/>
    <w:rsid w:val="009A5990"/>
    <w:rsid w:val="009A60D4"/>
    <w:rsid w:val="009A610F"/>
    <w:rsid w:val="009A615C"/>
    <w:rsid w:val="009A6C7B"/>
    <w:rsid w:val="009A6FE7"/>
    <w:rsid w:val="009A7991"/>
    <w:rsid w:val="009A7C47"/>
    <w:rsid w:val="009B0440"/>
    <w:rsid w:val="009B04E7"/>
    <w:rsid w:val="009B04F5"/>
    <w:rsid w:val="009B094C"/>
    <w:rsid w:val="009B0C52"/>
    <w:rsid w:val="009B0EEE"/>
    <w:rsid w:val="009B16B5"/>
    <w:rsid w:val="009B1AB4"/>
    <w:rsid w:val="009B1EC0"/>
    <w:rsid w:val="009B2179"/>
    <w:rsid w:val="009B229D"/>
    <w:rsid w:val="009B2788"/>
    <w:rsid w:val="009B2920"/>
    <w:rsid w:val="009B2C04"/>
    <w:rsid w:val="009B3162"/>
    <w:rsid w:val="009B3171"/>
    <w:rsid w:val="009B3817"/>
    <w:rsid w:val="009B39E9"/>
    <w:rsid w:val="009B3AF0"/>
    <w:rsid w:val="009B3B4C"/>
    <w:rsid w:val="009B3CD1"/>
    <w:rsid w:val="009B47BA"/>
    <w:rsid w:val="009B4AF6"/>
    <w:rsid w:val="009B4E35"/>
    <w:rsid w:val="009B50C9"/>
    <w:rsid w:val="009B50D1"/>
    <w:rsid w:val="009B5128"/>
    <w:rsid w:val="009B53E0"/>
    <w:rsid w:val="009B5898"/>
    <w:rsid w:val="009B5C20"/>
    <w:rsid w:val="009B5F3D"/>
    <w:rsid w:val="009B607B"/>
    <w:rsid w:val="009B6385"/>
    <w:rsid w:val="009B644D"/>
    <w:rsid w:val="009B6744"/>
    <w:rsid w:val="009B6801"/>
    <w:rsid w:val="009B6823"/>
    <w:rsid w:val="009B6986"/>
    <w:rsid w:val="009B6C32"/>
    <w:rsid w:val="009B6D3A"/>
    <w:rsid w:val="009B6EA6"/>
    <w:rsid w:val="009B6F12"/>
    <w:rsid w:val="009B6FAA"/>
    <w:rsid w:val="009B73E3"/>
    <w:rsid w:val="009B73FF"/>
    <w:rsid w:val="009B7443"/>
    <w:rsid w:val="009B7571"/>
    <w:rsid w:val="009B75FD"/>
    <w:rsid w:val="009B79CF"/>
    <w:rsid w:val="009B7C8B"/>
    <w:rsid w:val="009B7C92"/>
    <w:rsid w:val="009C0279"/>
    <w:rsid w:val="009C0292"/>
    <w:rsid w:val="009C0376"/>
    <w:rsid w:val="009C04ED"/>
    <w:rsid w:val="009C0534"/>
    <w:rsid w:val="009C0649"/>
    <w:rsid w:val="009C10E9"/>
    <w:rsid w:val="009C11E2"/>
    <w:rsid w:val="009C1C24"/>
    <w:rsid w:val="009C2617"/>
    <w:rsid w:val="009C27C0"/>
    <w:rsid w:val="009C2DFD"/>
    <w:rsid w:val="009C32C6"/>
    <w:rsid w:val="009C36BA"/>
    <w:rsid w:val="009C3923"/>
    <w:rsid w:val="009C4076"/>
    <w:rsid w:val="009C45ED"/>
    <w:rsid w:val="009C4644"/>
    <w:rsid w:val="009C4A19"/>
    <w:rsid w:val="009C4F34"/>
    <w:rsid w:val="009C52D2"/>
    <w:rsid w:val="009C5323"/>
    <w:rsid w:val="009C5588"/>
    <w:rsid w:val="009C5AD6"/>
    <w:rsid w:val="009C5B3E"/>
    <w:rsid w:val="009C5DB4"/>
    <w:rsid w:val="009C5E3C"/>
    <w:rsid w:val="009C60FF"/>
    <w:rsid w:val="009C62FA"/>
    <w:rsid w:val="009C6483"/>
    <w:rsid w:val="009C66BE"/>
    <w:rsid w:val="009C6767"/>
    <w:rsid w:val="009C67A2"/>
    <w:rsid w:val="009C6831"/>
    <w:rsid w:val="009C6C7B"/>
    <w:rsid w:val="009C6E00"/>
    <w:rsid w:val="009C71BF"/>
    <w:rsid w:val="009C722B"/>
    <w:rsid w:val="009C784E"/>
    <w:rsid w:val="009C7A46"/>
    <w:rsid w:val="009C7BA4"/>
    <w:rsid w:val="009D029C"/>
    <w:rsid w:val="009D0356"/>
    <w:rsid w:val="009D038E"/>
    <w:rsid w:val="009D067F"/>
    <w:rsid w:val="009D0D5B"/>
    <w:rsid w:val="009D10BB"/>
    <w:rsid w:val="009D122F"/>
    <w:rsid w:val="009D13C5"/>
    <w:rsid w:val="009D13E2"/>
    <w:rsid w:val="009D14A1"/>
    <w:rsid w:val="009D1A50"/>
    <w:rsid w:val="009D1F9B"/>
    <w:rsid w:val="009D2497"/>
    <w:rsid w:val="009D2B60"/>
    <w:rsid w:val="009D34FD"/>
    <w:rsid w:val="009D3BAA"/>
    <w:rsid w:val="009D3FFA"/>
    <w:rsid w:val="009D4121"/>
    <w:rsid w:val="009D4431"/>
    <w:rsid w:val="009D4628"/>
    <w:rsid w:val="009D477C"/>
    <w:rsid w:val="009D48B7"/>
    <w:rsid w:val="009D4E12"/>
    <w:rsid w:val="009D53E3"/>
    <w:rsid w:val="009D61C9"/>
    <w:rsid w:val="009D628D"/>
    <w:rsid w:val="009D6761"/>
    <w:rsid w:val="009D67CF"/>
    <w:rsid w:val="009D67E9"/>
    <w:rsid w:val="009D684E"/>
    <w:rsid w:val="009D68AD"/>
    <w:rsid w:val="009D69F5"/>
    <w:rsid w:val="009D7360"/>
    <w:rsid w:val="009D7464"/>
    <w:rsid w:val="009D74A7"/>
    <w:rsid w:val="009D7601"/>
    <w:rsid w:val="009D7AC3"/>
    <w:rsid w:val="009E00DE"/>
    <w:rsid w:val="009E0337"/>
    <w:rsid w:val="009E0610"/>
    <w:rsid w:val="009E06B5"/>
    <w:rsid w:val="009E0973"/>
    <w:rsid w:val="009E09E8"/>
    <w:rsid w:val="009E0B58"/>
    <w:rsid w:val="009E12E1"/>
    <w:rsid w:val="009E1350"/>
    <w:rsid w:val="009E1448"/>
    <w:rsid w:val="009E1A15"/>
    <w:rsid w:val="009E1A7C"/>
    <w:rsid w:val="009E1D63"/>
    <w:rsid w:val="009E1ED0"/>
    <w:rsid w:val="009E1FF3"/>
    <w:rsid w:val="009E2A22"/>
    <w:rsid w:val="009E2A3B"/>
    <w:rsid w:val="009E2AB6"/>
    <w:rsid w:val="009E2C54"/>
    <w:rsid w:val="009E2F96"/>
    <w:rsid w:val="009E31F1"/>
    <w:rsid w:val="009E3322"/>
    <w:rsid w:val="009E33CF"/>
    <w:rsid w:val="009E3B93"/>
    <w:rsid w:val="009E3CD4"/>
    <w:rsid w:val="009E401F"/>
    <w:rsid w:val="009E4236"/>
    <w:rsid w:val="009E4A86"/>
    <w:rsid w:val="009E4A9A"/>
    <w:rsid w:val="009E5064"/>
    <w:rsid w:val="009E58B4"/>
    <w:rsid w:val="009E58BC"/>
    <w:rsid w:val="009E5D77"/>
    <w:rsid w:val="009E5DE6"/>
    <w:rsid w:val="009E5F46"/>
    <w:rsid w:val="009E64CA"/>
    <w:rsid w:val="009E685F"/>
    <w:rsid w:val="009E68F9"/>
    <w:rsid w:val="009E68FE"/>
    <w:rsid w:val="009E6903"/>
    <w:rsid w:val="009E6BA8"/>
    <w:rsid w:val="009E6C40"/>
    <w:rsid w:val="009E6DE5"/>
    <w:rsid w:val="009E7020"/>
    <w:rsid w:val="009E704B"/>
    <w:rsid w:val="009E73E9"/>
    <w:rsid w:val="009F0754"/>
    <w:rsid w:val="009F0F31"/>
    <w:rsid w:val="009F11BF"/>
    <w:rsid w:val="009F19D4"/>
    <w:rsid w:val="009F20F4"/>
    <w:rsid w:val="009F2191"/>
    <w:rsid w:val="009F28CF"/>
    <w:rsid w:val="009F2974"/>
    <w:rsid w:val="009F2EFF"/>
    <w:rsid w:val="009F31E8"/>
    <w:rsid w:val="009F39BB"/>
    <w:rsid w:val="009F3FB3"/>
    <w:rsid w:val="009F481A"/>
    <w:rsid w:val="009F4BB0"/>
    <w:rsid w:val="009F4D4A"/>
    <w:rsid w:val="009F4F23"/>
    <w:rsid w:val="009F51B6"/>
    <w:rsid w:val="009F53B6"/>
    <w:rsid w:val="009F54BB"/>
    <w:rsid w:val="009F59AB"/>
    <w:rsid w:val="009F5A25"/>
    <w:rsid w:val="009F5E5C"/>
    <w:rsid w:val="009F5F96"/>
    <w:rsid w:val="009F60D5"/>
    <w:rsid w:val="009F681A"/>
    <w:rsid w:val="009F6C89"/>
    <w:rsid w:val="009F7289"/>
    <w:rsid w:val="009F795A"/>
    <w:rsid w:val="009F79D2"/>
    <w:rsid w:val="009F7CFB"/>
    <w:rsid w:val="00A00011"/>
    <w:rsid w:val="00A002EE"/>
    <w:rsid w:val="00A00479"/>
    <w:rsid w:val="00A00512"/>
    <w:rsid w:val="00A00578"/>
    <w:rsid w:val="00A00B61"/>
    <w:rsid w:val="00A00E49"/>
    <w:rsid w:val="00A00FDB"/>
    <w:rsid w:val="00A01044"/>
    <w:rsid w:val="00A01128"/>
    <w:rsid w:val="00A01344"/>
    <w:rsid w:val="00A015BD"/>
    <w:rsid w:val="00A01CC8"/>
    <w:rsid w:val="00A01F06"/>
    <w:rsid w:val="00A021D8"/>
    <w:rsid w:val="00A023AE"/>
    <w:rsid w:val="00A02910"/>
    <w:rsid w:val="00A0296A"/>
    <w:rsid w:val="00A029B1"/>
    <w:rsid w:val="00A02A03"/>
    <w:rsid w:val="00A02E6E"/>
    <w:rsid w:val="00A03194"/>
    <w:rsid w:val="00A033A4"/>
    <w:rsid w:val="00A039D3"/>
    <w:rsid w:val="00A03BD5"/>
    <w:rsid w:val="00A03C40"/>
    <w:rsid w:val="00A03CAD"/>
    <w:rsid w:val="00A043A2"/>
    <w:rsid w:val="00A04493"/>
    <w:rsid w:val="00A0456E"/>
    <w:rsid w:val="00A04A6C"/>
    <w:rsid w:val="00A04A9F"/>
    <w:rsid w:val="00A04B53"/>
    <w:rsid w:val="00A04CAC"/>
    <w:rsid w:val="00A04D5F"/>
    <w:rsid w:val="00A04FBF"/>
    <w:rsid w:val="00A04FF1"/>
    <w:rsid w:val="00A0536C"/>
    <w:rsid w:val="00A05524"/>
    <w:rsid w:val="00A05B13"/>
    <w:rsid w:val="00A05D02"/>
    <w:rsid w:val="00A05D0D"/>
    <w:rsid w:val="00A05DCF"/>
    <w:rsid w:val="00A05F76"/>
    <w:rsid w:val="00A06015"/>
    <w:rsid w:val="00A0605C"/>
    <w:rsid w:val="00A060DA"/>
    <w:rsid w:val="00A062E5"/>
    <w:rsid w:val="00A064BA"/>
    <w:rsid w:val="00A068FE"/>
    <w:rsid w:val="00A07604"/>
    <w:rsid w:val="00A07B08"/>
    <w:rsid w:val="00A07BB7"/>
    <w:rsid w:val="00A07CB5"/>
    <w:rsid w:val="00A104C9"/>
    <w:rsid w:val="00A105CA"/>
    <w:rsid w:val="00A107A5"/>
    <w:rsid w:val="00A10E06"/>
    <w:rsid w:val="00A11264"/>
    <w:rsid w:val="00A11886"/>
    <w:rsid w:val="00A11A5B"/>
    <w:rsid w:val="00A11AAB"/>
    <w:rsid w:val="00A11CA9"/>
    <w:rsid w:val="00A12660"/>
    <w:rsid w:val="00A1283C"/>
    <w:rsid w:val="00A128DB"/>
    <w:rsid w:val="00A12F8F"/>
    <w:rsid w:val="00A13295"/>
    <w:rsid w:val="00A13699"/>
    <w:rsid w:val="00A1373F"/>
    <w:rsid w:val="00A1379F"/>
    <w:rsid w:val="00A137BD"/>
    <w:rsid w:val="00A13F13"/>
    <w:rsid w:val="00A14CA6"/>
    <w:rsid w:val="00A15053"/>
    <w:rsid w:val="00A1546A"/>
    <w:rsid w:val="00A15E81"/>
    <w:rsid w:val="00A15F12"/>
    <w:rsid w:val="00A16035"/>
    <w:rsid w:val="00A16038"/>
    <w:rsid w:val="00A1652F"/>
    <w:rsid w:val="00A1670F"/>
    <w:rsid w:val="00A16AD6"/>
    <w:rsid w:val="00A1742A"/>
    <w:rsid w:val="00A17448"/>
    <w:rsid w:val="00A17880"/>
    <w:rsid w:val="00A179F2"/>
    <w:rsid w:val="00A17B2B"/>
    <w:rsid w:val="00A200D7"/>
    <w:rsid w:val="00A20198"/>
    <w:rsid w:val="00A207D3"/>
    <w:rsid w:val="00A20C53"/>
    <w:rsid w:val="00A20DDB"/>
    <w:rsid w:val="00A217CB"/>
    <w:rsid w:val="00A21B98"/>
    <w:rsid w:val="00A21CDD"/>
    <w:rsid w:val="00A21F13"/>
    <w:rsid w:val="00A22299"/>
    <w:rsid w:val="00A222FE"/>
    <w:rsid w:val="00A23A3E"/>
    <w:rsid w:val="00A23C34"/>
    <w:rsid w:val="00A23EF3"/>
    <w:rsid w:val="00A240C2"/>
    <w:rsid w:val="00A24231"/>
    <w:rsid w:val="00A2435B"/>
    <w:rsid w:val="00A24421"/>
    <w:rsid w:val="00A24A89"/>
    <w:rsid w:val="00A25126"/>
    <w:rsid w:val="00A2516B"/>
    <w:rsid w:val="00A25A90"/>
    <w:rsid w:val="00A25A9D"/>
    <w:rsid w:val="00A26754"/>
    <w:rsid w:val="00A267C6"/>
    <w:rsid w:val="00A26B46"/>
    <w:rsid w:val="00A26C5C"/>
    <w:rsid w:val="00A26E9A"/>
    <w:rsid w:val="00A26FC2"/>
    <w:rsid w:val="00A27160"/>
    <w:rsid w:val="00A272B4"/>
    <w:rsid w:val="00A27521"/>
    <w:rsid w:val="00A27C5C"/>
    <w:rsid w:val="00A27DDA"/>
    <w:rsid w:val="00A302F2"/>
    <w:rsid w:val="00A30BE4"/>
    <w:rsid w:val="00A31203"/>
    <w:rsid w:val="00A318D7"/>
    <w:rsid w:val="00A31A62"/>
    <w:rsid w:val="00A31B58"/>
    <w:rsid w:val="00A31E9F"/>
    <w:rsid w:val="00A31FFE"/>
    <w:rsid w:val="00A32077"/>
    <w:rsid w:val="00A32402"/>
    <w:rsid w:val="00A3274B"/>
    <w:rsid w:val="00A329F7"/>
    <w:rsid w:val="00A32A52"/>
    <w:rsid w:val="00A32EB8"/>
    <w:rsid w:val="00A32F8A"/>
    <w:rsid w:val="00A331F0"/>
    <w:rsid w:val="00A33228"/>
    <w:rsid w:val="00A33391"/>
    <w:rsid w:val="00A333C1"/>
    <w:rsid w:val="00A337DC"/>
    <w:rsid w:val="00A33AFE"/>
    <w:rsid w:val="00A33E00"/>
    <w:rsid w:val="00A34198"/>
    <w:rsid w:val="00A34261"/>
    <w:rsid w:val="00A3448A"/>
    <w:rsid w:val="00A34784"/>
    <w:rsid w:val="00A34F64"/>
    <w:rsid w:val="00A3515C"/>
    <w:rsid w:val="00A352EE"/>
    <w:rsid w:val="00A353B9"/>
    <w:rsid w:val="00A353DA"/>
    <w:rsid w:val="00A3579B"/>
    <w:rsid w:val="00A35881"/>
    <w:rsid w:val="00A3588C"/>
    <w:rsid w:val="00A35BD4"/>
    <w:rsid w:val="00A35CB6"/>
    <w:rsid w:val="00A35E47"/>
    <w:rsid w:val="00A360B6"/>
    <w:rsid w:val="00A36171"/>
    <w:rsid w:val="00A36383"/>
    <w:rsid w:val="00A36411"/>
    <w:rsid w:val="00A369AD"/>
    <w:rsid w:val="00A36BCA"/>
    <w:rsid w:val="00A36BE6"/>
    <w:rsid w:val="00A37271"/>
    <w:rsid w:val="00A3746B"/>
    <w:rsid w:val="00A37668"/>
    <w:rsid w:val="00A37820"/>
    <w:rsid w:val="00A379FF"/>
    <w:rsid w:val="00A37A36"/>
    <w:rsid w:val="00A37C87"/>
    <w:rsid w:val="00A40075"/>
    <w:rsid w:val="00A40325"/>
    <w:rsid w:val="00A4045D"/>
    <w:rsid w:val="00A40C79"/>
    <w:rsid w:val="00A40C89"/>
    <w:rsid w:val="00A40EE1"/>
    <w:rsid w:val="00A40F23"/>
    <w:rsid w:val="00A41304"/>
    <w:rsid w:val="00A4186F"/>
    <w:rsid w:val="00A41C5C"/>
    <w:rsid w:val="00A41D0F"/>
    <w:rsid w:val="00A42864"/>
    <w:rsid w:val="00A42949"/>
    <w:rsid w:val="00A4313D"/>
    <w:rsid w:val="00A43240"/>
    <w:rsid w:val="00A43AA7"/>
    <w:rsid w:val="00A43B80"/>
    <w:rsid w:val="00A43DF7"/>
    <w:rsid w:val="00A44125"/>
    <w:rsid w:val="00A44158"/>
    <w:rsid w:val="00A4431F"/>
    <w:rsid w:val="00A44384"/>
    <w:rsid w:val="00A443DA"/>
    <w:rsid w:val="00A443EA"/>
    <w:rsid w:val="00A44548"/>
    <w:rsid w:val="00A446B4"/>
    <w:rsid w:val="00A4587D"/>
    <w:rsid w:val="00A459F8"/>
    <w:rsid w:val="00A45A5D"/>
    <w:rsid w:val="00A45DC1"/>
    <w:rsid w:val="00A45F8B"/>
    <w:rsid w:val="00A46321"/>
    <w:rsid w:val="00A4642B"/>
    <w:rsid w:val="00A46E74"/>
    <w:rsid w:val="00A47929"/>
    <w:rsid w:val="00A47B24"/>
    <w:rsid w:val="00A50004"/>
    <w:rsid w:val="00A508CD"/>
    <w:rsid w:val="00A50C08"/>
    <w:rsid w:val="00A51304"/>
    <w:rsid w:val="00A51480"/>
    <w:rsid w:val="00A514A3"/>
    <w:rsid w:val="00A514D7"/>
    <w:rsid w:val="00A51746"/>
    <w:rsid w:val="00A51763"/>
    <w:rsid w:val="00A519B4"/>
    <w:rsid w:val="00A51B3E"/>
    <w:rsid w:val="00A51E2B"/>
    <w:rsid w:val="00A520E5"/>
    <w:rsid w:val="00A5268B"/>
    <w:rsid w:val="00A52A6D"/>
    <w:rsid w:val="00A52C7C"/>
    <w:rsid w:val="00A52E1C"/>
    <w:rsid w:val="00A5311F"/>
    <w:rsid w:val="00A533FD"/>
    <w:rsid w:val="00A53534"/>
    <w:rsid w:val="00A535E0"/>
    <w:rsid w:val="00A539CD"/>
    <w:rsid w:val="00A53E9E"/>
    <w:rsid w:val="00A53F4A"/>
    <w:rsid w:val="00A53F6F"/>
    <w:rsid w:val="00A5423C"/>
    <w:rsid w:val="00A54740"/>
    <w:rsid w:val="00A5489D"/>
    <w:rsid w:val="00A54AB5"/>
    <w:rsid w:val="00A54C76"/>
    <w:rsid w:val="00A55083"/>
    <w:rsid w:val="00A55195"/>
    <w:rsid w:val="00A558E5"/>
    <w:rsid w:val="00A55FC3"/>
    <w:rsid w:val="00A560AE"/>
    <w:rsid w:val="00A5629F"/>
    <w:rsid w:val="00A56819"/>
    <w:rsid w:val="00A568CD"/>
    <w:rsid w:val="00A56BEF"/>
    <w:rsid w:val="00A56C58"/>
    <w:rsid w:val="00A56D9B"/>
    <w:rsid w:val="00A56EC8"/>
    <w:rsid w:val="00A5729C"/>
    <w:rsid w:val="00A574F7"/>
    <w:rsid w:val="00A57736"/>
    <w:rsid w:val="00A57C87"/>
    <w:rsid w:val="00A60101"/>
    <w:rsid w:val="00A6016B"/>
    <w:rsid w:val="00A6046B"/>
    <w:rsid w:val="00A6060C"/>
    <w:rsid w:val="00A6060E"/>
    <w:rsid w:val="00A608EF"/>
    <w:rsid w:val="00A608F1"/>
    <w:rsid w:val="00A61113"/>
    <w:rsid w:val="00A61256"/>
    <w:rsid w:val="00A612C0"/>
    <w:rsid w:val="00A613B4"/>
    <w:rsid w:val="00A61AC7"/>
    <w:rsid w:val="00A61B92"/>
    <w:rsid w:val="00A61DA6"/>
    <w:rsid w:val="00A61EC0"/>
    <w:rsid w:val="00A62045"/>
    <w:rsid w:val="00A62088"/>
    <w:rsid w:val="00A624F7"/>
    <w:rsid w:val="00A6257E"/>
    <w:rsid w:val="00A6262C"/>
    <w:rsid w:val="00A629A3"/>
    <w:rsid w:val="00A62D5B"/>
    <w:rsid w:val="00A62F2F"/>
    <w:rsid w:val="00A63115"/>
    <w:rsid w:val="00A63164"/>
    <w:rsid w:val="00A63394"/>
    <w:rsid w:val="00A6354C"/>
    <w:rsid w:val="00A637C3"/>
    <w:rsid w:val="00A63A30"/>
    <w:rsid w:val="00A6453D"/>
    <w:rsid w:val="00A64ED8"/>
    <w:rsid w:val="00A65113"/>
    <w:rsid w:val="00A65363"/>
    <w:rsid w:val="00A65508"/>
    <w:rsid w:val="00A65B50"/>
    <w:rsid w:val="00A660D9"/>
    <w:rsid w:val="00A667A9"/>
    <w:rsid w:val="00A66C3D"/>
    <w:rsid w:val="00A66EA2"/>
    <w:rsid w:val="00A6740C"/>
    <w:rsid w:val="00A67623"/>
    <w:rsid w:val="00A67CC8"/>
    <w:rsid w:val="00A70189"/>
    <w:rsid w:val="00A70A7C"/>
    <w:rsid w:val="00A71367"/>
    <w:rsid w:val="00A715D4"/>
    <w:rsid w:val="00A717CD"/>
    <w:rsid w:val="00A71BDB"/>
    <w:rsid w:val="00A71DE6"/>
    <w:rsid w:val="00A71E42"/>
    <w:rsid w:val="00A72253"/>
    <w:rsid w:val="00A7234C"/>
    <w:rsid w:val="00A72A9E"/>
    <w:rsid w:val="00A72B97"/>
    <w:rsid w:val="00A72C38"/>
    <w:rsid w:val="00A73367"/>
    <w:rsid w:val="00A735B4"/>
    <w:rsid w:val="00A736DA"/>
    <w:rsid w:val="00A738E6"/>
    <w:rsid w:val="00A73A5F"/>
    <w:rsid w:val="00A73E05"/>
    <w:rsid w:val="00A740FB"/>
    <w:rsid w:val="00A74206"/>
    <w:rsid w:val="00A74978"/>
    <w:rsid w:val="00A74A8E"/>
    <w:rsid w:val="00A74B32"/>
    <w:rsid w:val="00A74F08"/>
    <w:rsid w:val="00A75069"/>
    <w:rsid w:val="00A75214"/>
    <w:rsid w:val="00A756F8"/>
    <w:rsid w:val="00A758A4"/>
    <w:rsid w:val="00A76D45"/>
    <w:rsid w:val="00A76D5D"/>
    <w:rsid w:val="00A773C3"/>
    <w:rsid w:val="00A774DC"/>
    <w:rsid w:val="00A776F5"/>
    <w:rsid w:val="00A7795E"/>
    <w:rsid w:val="00A77CB8"/>
    <w:rsid w:val="00A801BB"/>
    <w:rsid w:val="00A80253"/>
    <w:rsid w:val="00A8029A"/>
    <w:rsid w:val="00A803D0"/>
    <w:rsid w:val="00A804EE"/>
    <w:rsid w:val="00A8066D"/>
    <w:rsid w:val="00A807AF"/>
    <w:rsid w:val="00A808D1"/>
    <w:rsid w:val="00A80A89"/>
    <w:rsid w:val="00A80AA4"/>
    <w:rsid w:val="00A80ABC"/>
    <w:rsid w:val="00A81402"/>
    <w:rsid w:val="00A81A1B"/>
    <w:rsid w:val="00A81A73"/>
    <w:rsid w:val="00A81A91"/>
    <w:rsid w:val="00A81C41"/>
    <w:rsid w:val="00A82250"/>
    <w:rsid w:val="00A8228C"/>
    <w:rsid w:val="00A8284F"/>
    <w:rsid w:val="00A829D5"/>
    <w:rsid w:val="00A82B90"/>
    <w:rsid w:val="00A83570"/>
    <w:rsid w:val="00A83968"/>
    <w:rsid w:val="00A83A8B"/>
    <w:rsid w:val="00A83A9D"/>
    <w:rsid w:val="00A83B3F"/>
    <w:rsid w:val="00A83E4A"/>
    <w:rsid w:val="00A84009"/>
    <w:rsid w:val="00A84093"/>
    <w:rsid w:val="00A8498D"/>
    <w:rsid w:val="00A84C2B"/>
    <w:rsid w:val="00A8512C"/>
    <w:rsid w:val="00A853CE"/>
    <w:rsid w:val="00A857D3"/>
    <w:rsid w:val="00A85A47"/>
    <w:rsid w:val="00A8628F"/>
    <w:rsid w:val="00A86796"/>
    <w:rsid w:val="00A86E8E"/>
    <w:rsid w:val="00A871CB"/>
    <w:rsid w:val="00A87263"/>
    <w:rsid w:val="00A874D1"/>
    <w:rsid w:val="00A8755D"/>
    <w:rsid w:val="00A87846"/>
    <w:rsid w:val="00A87972"/>
    <w:rsid w:val="00A87AEE"/>
    <w:rsid w:val="00A87B3E"/>
    <w:rsid w:val="00A87B6B"/>
    <w:rsid w:val="00A87E36"/>
    <w:rsid w:val="00A9015B"/>
    <w:rsid w:val="00A901A0"/>
    <w:rsid w:val="00A9033A"/>
    <w:rsid w:val="00A907C2"/>
    <w:rsid w:val="00A90D85"/>
    <w:rsid w:val="00A91012"/>
    <w:rsid w:val="00A91404"/>
    <w:rsid w:val="00A9146B"/>
    <w:rsid w:val="00A914B0"/>
    <w:rsid w:val="00A918E5"/>
    <w:rsid w:val="00A91C8D"/>
    <w:rsid w:val="00A91E64"/>
    <w:rsid w:val="00A92121"/>
    <w:rsid w:val="00A921BC"/>
    <w:rsid w:val="00A926F5"/>
    <w:rsid w:val="00A92B68"/>
    <w:rsid w:val="00A92D5B"/>
    <w:rsid w:val="00A92F92"/>
    <w:rsid w:val="00A93148"/>
    <w:rsid w:val="00A93369"/>
    <w:rsid w:val="00A93571"/>
    <w:rsid w:val="00A939A0"/>
    <w:rsid w:val="00A93C8F"/>
    <w:rsid w:val="00A942FB"/>
    <w:rsid w:val="00A9442A"/>
    <w:rsid w:val="00A94A1E"/>
    <w:rsid w:val="00A94A20"/>
    <w:rsid w:val="00A94B65"/>
    <w:rsid w:val="00A9511E"/>
    <w:rsid w:val="00A9542E"/>
    <w:rsid w:val="00A958ED"/>
    <w:rsid w:val="00A95A82"/>
    <w:rsid w:val="00A96078"/>
    <w:rsid w:val="00A96156"/>
    <w:rsid w:val="00A96236"/>
    <w:rsid w:val="00A96723"/>
    <w:rsid w:val="00A9699D"/>
    <w:rsid w:val="00A96B1A"/>
    <w:rsid w:val="00A96C2A"/>
    <w:rsid w:val="00A9707C"/>
    <w:rsid w:val="00A97112"/>
    <w:rsid w:val="00A9755D"/>
    <w:rsid w:val="00A97568"/>
    <w:rsid w:val="00A9785F"/>
    <w:rsid w:val="00A97999"/>
    <w:rsid w:val="00A97C23"/>
    <w:rsid w:val="00AA01CB"/>
    <w:rsid w:val="00AA0785"/>
    <w:rsid w:val="00AA095E"/>
    <w:rsid w:val="00AA0E34"/>
    <w:rsid w:val="00AA100A"/>
    <w:rsid w:val="00AA147C"/>
    <w:rsid w:val="00AA172E"/>
    <w:rsid w:val="00AA17E9"/>
    <w:rsid w:val="00AA17EA"/>
    <w:rsid w:val="00AA1E85"/>
    <w:rsid w:val="00AA24CB"/>
    <w:rsid w:val="00AA2ADD"/>
    <w:rsid w:val="00AA3673"/>
    <w:rsid w:val="00AA36C4"/>
    <w:rsid w:val="00AA3E70"/>
    <w:rsid w:val="00AA42CA"/>
    <w:rsid w:val="00AA489F"/>
    <w:rsid w:val="00AA48A1"/>
    <w:rsid w:val="00AA500C"/>
    <w:rsid w:val="00AA57C0"/>
    <w:rsid w:val="00AA5816"/>
    <w:rsid w:val="00AA5CE3"/>
    <w:rsid w:val="00AA671F"/>
    <w:rsid w:val="00AA67D5"/>
    <w:rsid w:val="00AA67E3"/>
    <w:rsid w:val="00AA68FD"/>
    <w:rsid w:val="00AA6BB6"/>
    <w:rsid w:val="00AA7348"/>
    <w:rsid w:val="00AB05D2"/>
    <w:rsid w:val="00AB0AE0"/>
    <w:rsid w:val="00AB0B6C"/>
    <w:rsid w:val="00AB0BEE"/>
    <w:rsid w:val="00AB0D7A"/>
    <w:rsid w:val="00AB100D"/>
    <w:rsid w:val="00AB13E1"/>
    <w:rsid w:val="00AB1B4E"/>
    <w:rsid w:val="00AB1C25"/>
    <w:rsid w:val="00AB1DBC"/>
    <w:rsid w:val="00AB22D3"/>
    <w:rsid w:val="00AB2828"/>
    <w:rsid w:val="00AB2891"/>
    <w:rsid w:val="00AB2BE1"/>
    <w:rsid w:val="00AB2D07"/>
    <w:rsid w:val="00AB301B"/>
    <w:rsid w:val="00AB315A"/>
    <w:rsid w:val="00AB321E"/>
    <w:rsid w:val="00AB322B"/>
    <w:rsid w:val="00AB34B7"/>
    <w:rsid w:val="00AB3547"/>
    <w:rsid w:val="00AB359B"/>
    <w:rsid w:val="00AB374C"/>
    <w:rsid w:val="00AB3794"/>
    <w:rsid w:val="00AB3959"/>
    <w:rsid w:val="00AB3AC9"/>
    <w:rsid w:val="00AB3E15"/>
    <w:rsid w:val="00AB46C5"/>
    <w:rsid w:val="00AB4AC2"/>
    <w:rsid w:val="00AB4FC7"/>
    <w:rsid w:val="00AB504D"/>
    <w:rsid w:val="00AB5170"/>
    <w:rsid w:val="00AB56C0"/>
    <w:rsid w:val="00AB5905"/>
    <w:rsid w:val="00AB5E50"/>
    <w:rsid w:val="00AB5FA2"/>
    <w:rsid w:val="00AB6C6E"/>
    <w:rsid w:val="00AB6CBD"/>
    <w:rsid w:val="00AB6DD2"/>
    <w:rsid w:val="00AB6E93"/>
    <w:rsid w:val="00AB70CE"/>
    <w:rsid w:val="00AB717B"/>
    <w:rsid w:val="00AB7474"/>
    <w:rsid w:val="00AB7A78"/>
    <w:rsid w:val="00AB7DE6"/>
    <w:rsid w:val="00AB7E5B"/>
    <w:rsid w:val="00AC087E"/>
    <w:rsid w:val="00AC0AA6"/>
    <w:rsid w:val="00AC0EC8"/>
    <w:rsid w:val="00AC10F6"/>
    <w:rsid w:val="00AC1102"/>
    <w:rsid w:val="00AC1337"/>
    <w:rsid w:val="00AC20CF"/>
    <w:rsid w:val="00AC213E"/>
    <w:rsid w:val="00AC22E6"/>
    <w:rsid w:val="00AC271A"/>
    <w:rsid w:val="00AC272D"/>
    <w:rsid w:val="00AC2872"/>
    <w:rsid w:val="00AC2DB2"/>
    <w:rsid w:val="00AC306A"/>
    <w:rsid w:val="00AC32FE"/>
    <w:rsid w:val="00AC3A8B"/>
    <w:rsid w:val="00AC3AA9"/>
    <w:rsid w:val="00AC49F3"/>
    <w:rsid w:val="00AC4C46"/>
    <w:rsid w:val="00AC5577"/>
    <w:rsid w:val="00AC59AC"/>
    <w:rsid w:val="00AC5E3E"/>
    <w:rsid w:val="00AC6345"/>
    <w:rsid w:val="00AC65C1"/>
    <w:rsid w:val="00AC6863"/>
    <w:rsid w:val="00AC6A72"/>
    <w:rsid w:val="00AC701A"/>
    <w:rsid w:val="00AC726E"/>
    <w:rsid w:val="00AC7325"/>
    <w:rsid w:val="00AC75CD"/>
    <w:rsid w:val="00AC766A"/>
    <w:rsid w:val="00AC768D"/>
    <w:rsid w:val="00AC79F7"/>
    <w:rsid w:val="00AC7BCE"/>
    <w:rsid w:val="00AC7F24"/>
    <w:rsid w:val="00AD046B"/>
    <w:rsid w:val="00AD0539"/>
    <w:rsid w:val="00AD07E8"/>
    <w:rsid w:val="00AD080B"/>
    <w:rsid w:val="00AD08B0"/>
    <w:rsid w:val="00AD0C6A"/>
    <w:rsid w:val="00AD1029"/>
    <w:rsid w:val="00AD177F"/>
    <w:rsid w:val="00AD1C78"/>
    <w:rsid w:val="00AD24FF"/>
    <w:rsid w:val="00AD2759"/>
    <w:rsid w:val="00AD27BF"/>
    <w:rsid w:val="00AD3128"/>
    <w:rsid w:val="00AD3254"/>
    <w:rsid w:val="00AD337C"/>
    <w:rsid w:val="00AD34B0"/>
    <w:rsid w:val="00AD3BB7"/>
    <w:rsid w:val="00AD3D31"/>
    <w:rsid w:val="00AD3D9B"/>
    <w:rsid w:val="00AD40ED"/>
    <w:rsid w:val="00AD41DD"/>
    <w:rsid w:val="00AD4468"/>
    <w:rsid w:val="00AD47C1"/>
    <w:rsid w:val="00AD47E6"/>
    <w:rsid w:val="00AD4AE1"/>
    <w:rsid w:val="00AD4C0A"/>
    <w:rsid w:val="00AD4CF4"/>
    <w:rsid w:val="00AD4DFA"/>
    <w:rsid w:val="00AD50ED"/>
    <w:rsid w:val="00AD514C"/>
    <w:rsid w:val="00AD5441"/>
    <w:rsid w:val="00AD54D2"/>
    <w:rsid w:val="00AD5698"/>
    <w:rsid w:val="00AD5965"/>
    <w:rsid w:val="00AD5C8C"/>
    <w:rsid w:val="00AD5DEB"/>
    <w:rsid w:val="00AD5E0D"/>
    <w:rsid w:val="00AD6147"/>
    <w:rsid w:val="00AD638C"/>
    <w:rsid w:val="00AD64F3"/>
    <w:rsid w:val="00AD6633"/>
    <w:rsid w:val="00AD6990"/>
    <w:rsid w:val="00AD6FA0"/>
    <w:rsid w:val="00AD6FF3"/>
    <w:rsid w:val="00AD7185"/>
    <w:rsid w:val="00AD7254"/>
    <w:rsid w:val="00AE0132"/>
    <w:rsid w:val="00AE0225"/>
    <w:rsid w:val="00AE0799"/>
    <w:rsid w:val="00AE0A8F"/>
    <w:rsid w:val="00AE0BDD"/>
    <w:rsid w:val="00AE0E12"/>
    <w:rsid w:val="00AE0EFF"/>
    <w:rsid w:val="00AE1332"/>
    <w:rsid w:val="00AE13CF"/>
    <w:rsid w:val="00AE1431"/>
    <w:rsid w:val="00AE1B70"/>
    <w:rsid w:val="00AE2070"/>
    <w:rsid w:val="00AE228A"/>
    <w:rsid w:val="00AE23DD"/>
    <w:rsid w:val="00AE23E3"/>
    <w:rsid w:val="00AE2672"/>
    <w:rsid w:val="00AE2DED"/>
    <w:rsid w:val="00AE2E2F"/>
    <w:rsid w:val="00AE301B"/>
    <w:rsid w:val="00AE31A4"/>
    <w:rsid w:val="00AE3809"/>
    <w:rsid w:val="00AE3E66"/>
    <w:rsid w:val="00AE4C96"/>
    <w:rsid w:val="00AE4D1D"/>
    <w:rsid w:val="00AE516C"/>
    <w:rsid w:val="00AE51DC"/>
    <w:rsid w:val="00AE51FF"/>
    <w:rsid w:val="00AE5B71"/>
    <w:rsid w:val="00AE5E18"/>
    <w:rsid w:val="00AE5FF2"/>
    <w:rsid w:val="00AE62D8"/>
    <w:rsid w:val="00AE6B95"/>
    <w:rsid w:val="00AE7AE8"/>
    <w:rsid w:val="00AE7BFA"/>
    <w:rsid w:val="00AF0164"/>
    <w:rsid w:val="00AF0597"/>
    <w:rsid w:val="00AF0A46"/>
    <w:rsid w:val="00AF0AAC"/>
    <w:rsid w:val="00AF0BF5"/>
    <w:rsid w:val="00AF135A"/>
    <w:rsid w:val="00AF1831"/>
    <w:rsid w:val="00AF1BAD"/>
    <w:rsid w:val="00AF1D9B"/>
    <w:rsid w:val="00AF1EC4"/>
    <w:rsid w:val="00AF1ED6"/>
    <w:rsid w:val="00AF214A"/>
    <w:rsid w:val="00AF29D8"/>
    <w:rsid w:val="00AF29FF"/>
    <w:rsid w:val="00AF2ABF"/>
    <w:rsid w:val="00AF2BA9"/>
    <w:rsid w:val="00AF3135"/>
    <w:rsid w:val="00AF349F"/>
    <w:rsid w:val="00AF4191"/>
    <w:rsid w:val="00AF4575"/>
    <w:rsid w:val="00AF46AF"/>
    <w:rsid w:val="00AF46EC"/>
    <w:rsid w:val="00AF4AC6"/>
    <w:rsid w:val="00AF4C7B"/>
    <w:rsid w:val="00AF4D9F"/>
    <w:rsid w:val="00AF4EB1"/>
    <w:rsid w:val="00AF4FD3"/>
    <w:rsid w:val="00AF5108"/>
    <w:rsid w:val="00AF5492"/>
    <w:rsid w:val="00AF56B8"/>
    <w:rsid w:val="00AF5E1F"/>
    <w:rsid w:val="00AF5E42"/>
    <w:rsid w:val="00AF617B"/>
    <w:rsid w:val="00AF6396"/>
    <w:rsid w:val="00AF6566"/>
    <w:rsid w:val="00AF66D1"/>
    <w:rsid w:val="00AF6739"/>
    <w:rsid w:val="00AF6B92"/>
    <w:rsid w:val="00AF6C9C"/>
    <w:rsid w:val="00AF6D69"/>
    <w:rsid w:val="00AF6E1D"/>
    <w:rsid w:val="00AF6F37"/>
    <w:rsid w:val="00AF7031"/>
    <w:rsid w:val="00AF7104"/>
    <w:rsid w:val="00AF713B"/>
    <w:rsid w:val="00AF7471"/>
    <w:rsid w:val="00AF74C4"/>
    <w:rsid w:val="00AF7615"/>
    <w:rsid w:val="00AF780C"/>
    <w:rsid w:val="00AF7930"/>
    <w:rsid w:val="00AF7AC3"/>
    <w:rsid w:val="00AF7D7B"/>
    <w:rsid w:val="00B0002B"/>
    <w:rsid w:val="00B00162"/>
    <w:rsid w:val="00B00E96"/>
    <w:rsid w:val="00B00EF8"/>
    <w:rsid w:val="00B01237"/>
    <w:rsid w:val="00B0145A"/>
    <w:rsid w:val="00B017C1"/>
    <w:rsid w:val="00B01C11"/>
    <w:rsid w:val="00B0205E"/>
    <w:rsid w:val="00B0212F"/>
    <w:rsid w:val="00B024B5"/>
    <w:rsid w:val="00B0253A"/>
    <w:rsid w:val="00B026DE"/>
    <w:rsid w:val="00B028F5"/>
    <w:rsid w:val="00B02DBF"/>
    <w:rsid w:val="00B02FC4"/>
    <w:rsid w:val="00B03A09"/>
    <w:rsid w:val="00B03C8A"/>
    <w:rsid w:val="00B03D8A"/>
    <w:rsid w:val="00B0406B"/>
    <w:rsid w:val="00B04338"/>
    <w:rsid w:val="00B04534"/>
    <w:rsid w:val="00B04B05"/>
    <w:rsid w:val="00B04DC7"/>
    <w:rsid w:val="00B04E36"/>
    <w:rsid w:val="00B04E74"/>
    <w:rsid w:val="00B050FC"/>
    <w:rsid w:val="00B051B5"/>
    <w:rsid w:val="00B05291"/>
    <w:rsid w:val="00B056D8"/>
    <w:rsid w:val="00B0595C"/>
    <w:rsid w:val="00B05F2D"/>
    <w:rsid w:val="00B061B4"/>
    <w:rsid w:val="00B06580"/>
    <w:rsid w:val="00B06F23"/>
    <w:rsid w:val="00B0713D"/>
    <w:rsid w:val="00B07485"/>
    <w:rsid w:val="00B07853"/>
    <w:rsid w:val="00B07CF9"/>
    <w:rsid w:val="00B07D52"/>
    <w:rsid w:val="00B07DF8"/>
    <w:rsid w:val="00B07EA0"/>
    <w:rsid w:val="00B10FB3"/>
    <w:rsid w:val="00B11026"/>
    <w:rsid w:val="00B111EA"/>
    <w:rsid w:val="00B11407"/>
    <w:rsid w:val="00B1146C"/>
    <w:rsid w:val="00B117D5"/>
    <w:rsid w:val="00B11C59"/>
    <w:rsid w:val="00B11F18"/>
    <w:rsid w:val="00B12220"/>
    <w:rsid w:val="00B12602"/>
    <w:rsid w:val="00B127D4"/>
    <w:rsid w:val="00B12DED"/>
    <w:rsid w:val="00B130FA"/>
    <w:rsid w:val="00B1326C"/>
    <w:rsid w:val="00B13B72"/>
    <w:rsid w:val="00B13BF0"/>
    <w:rsid w:val="00B13C41"/>
    <w:rsid w:val="00B13C99"/>
    <w:rsid w:val="00B13CF7"/>
    <w:rsid w:val="00B13D48"/>
    <w:rsid w:val="00B13ED3"/>
    <w:rsid w:val="00B13EF1"/>
    <w:rsid w:val="00B140C9"/>
    <w:rsid w:val="00B141DD"/>
    <w:rsid w:val="00B14260"/>
    <w:rsid w:val="00B149F5"/>
    <w:rsid w:val="00B14C61"/>
    <w:rsid w:val="00B156B6"/>
    <w:rsid w:val="00B15BC0"/>
    <w:rsid w:val="00B16405"/>
    <w:rsid w:val="00B165CA"/>
    <w:rsid w:val="00B16945"/>
    <w:rsid w:val="00B16CB6"/>
    <w:rsid w:val="00B16D62"/>
    <w:rsid w:val="00B16FBF"/>
    <w:rsid w:val="00B17085"/>
    <w:rsid w:val="00B1711A"/>
    <w:rsid w:val="00B172AA"/>
    <w:rsid w:val="00B17445"/>
    <w:rsid w:val="00B17735"/>
    <w:rsid w:val="00B179DA"/>
    <w:rsid w:val="00B17B05"/>
    <w:rsid w:val="00B17B20"/>
    <w:rsid w:val="00B17B8A"/>
    <w:rsid w:val="00B17BD7"/>
    <w:rsid w:val="00B17BF8"/>
    <w:rsid w:val="00B20216"/>
    <w:rsid w:val="00B20349"/>
    <w:rsid w:val="00B2082E"/>
    <w:rsid w:val="00B208E3"/>
    <w:rsid w:val="00B20D28"/>
    <w:rsid w:val="00B21053"/>
    <w:rsid w:val="00B2125B"/>
    <w:rsid w:val="00B21512"/>
    <w:rsid w:val="00B215EF"/>
    <w:rsid w:val="00B218FE"/>
    <w:rsid w:val="00B21BB3"/>
    <w:rsid w:val="00B21BCB"/>
    <w:rsid w:val="00B22A30"/>
    <w:rsid w:val="00B22B9A"/>
    <w:rsid w:val="00B22C7F"/>
    <w:rsid w:val="00B22D96"/>
    <w:rsid w:val="00B22F72"/>
    <w:rsid w:val="00B23176"/>
    <w:rsid w:val="00B23181"/>
    <w:rsid w:val="00B232A3"/>
    <w:rsid w:val="00B2360C"/>
    <w:rsid w:val="00B23817"/>
    <w:rsid w:val="00B238D1"/>
    <w:rsid w:val="00B239FD"/>
    <w:rsid w:val="00B23A8C"/>
    <w:rsid w:val="00B241E1"/>
    <w:rsid w:val="00B244CD"/>
    <w:rsid w:val="00B24504"/>
    <w:rsid w:val="00B249FC"/>
    <w:rsid w:val="00B24DF5"/>
    <w:rsid w:val="00B253E0"/>
    <w:rsid w:val="00B2589B"/>
    <w:rsid w:val="00B25994"/>
    <w:rsid w:val="00B25B40"/>
    <w:rsid w:val="00B25C6F"/>
    <w:rsid w:val="00B26155"/>
    <w:rsid w:val="00B261F8"/>
    <w:rsid w:val="00B26713"/>
    <w:rsid w:val="00B26B3E"/>
    <w:rsid w:val="00B26B8E"/>
    <w:rsid w:val="00B26BDB"/>
    <w:rsid w:val="00B26C84"/>
    <w:rsid w:val="00B27200"/>
    <w:rsid w:val="00B273F8"/>
    <w:rsid w:val="00B276FE"/>
    <w:rsid w:val="00B27797"/>
    <w:rsid w:val="00B30380"/>
    <w:rsid w:val="00B304DF"/>
    <w:rsid w:val="00B305D6"/>
    <w:rsid w:val="00B3067B"/>
    <w:rsid w:val="00B3069E"/>
    <w:rsid w:val="00B30BE3"/>
    <w:rsid w:val="00B30E93"/>
    <w:rsid w:val="00B30F6E"/>
    <w:rsid w:val="00B3100D"/>
    <w:rsid w:val="00B310D7"/>
    <w:rsid w:val="00B310FB"/>
    <w:rsid w:val="00B311E3"/>
    <w:rsid w:val="00B31338"/>
    <w:rsid w:val="00B31742"/>
    <w:rsid w:val="00B31A84"/>
    <w:rsid w:val="00B31F7E"/>
    <w:rsid w:val="00B3206A"/>
    <w:rsid w:val="00B32206"/>
    <w:rsid w:val="00B322EB"/>
    <w:rsid w:val="00B325B4"/>
    <w:rsid w:val="00B325C1"/>
    <w:rsid w:val="00B3287F"/>
    <w:rsid w:val="00B32DD7"/>
    <w:rsid w:val="00B32F9B"/>
    <w:rsid w:val="00B32FD3"/>
    <w:rsid w:val="00B3359A"/>
    <w:rsid w:val="00B335E0"/>
    <w:rsid w:val="00B339D4"/>
    <w:rsid w:val="00B343C7"/>
    <w:rsid w:val="00B34D63"/>
    <w:rsid w:val="00B34D7F"/>
    <w:rsid w:val="00B35468"/>
    <w:rsid w:val="00B355CC"/>
    <w:rsid w:val="00B357B3"/>
    <w:rsid w:val="00B35A6D"/>
    <w:rsid w:val="00B35D1C"/>
    <w:rsid w:val="00B36114"/>
    <w:rsid w:val="00B36956"/>
    <w:rsid w:val="00B36C3E"/>
    <w:rsid w:val="00B36FC4"/>
    <w:rsid w:val="00B3720A"/>
    <w:rsid w:val="00B37557"/>
    <w:rsid w:val="00B3759E"/>
    <w:rsid w:val="00B379A0"/>
    <w:rsid w:val="00B379E1"/>
    <w:rsid w:val="00B37EEB"/>
    <w:rsid w:val="00B403CB"/>
    <w:rsid w:val="00B404DB"/>
    <w:rsid w:val="00B40514"/>
    <w:rsid w:val="00B40600"/>
    <w:rsid w:val="00B4098E"/>
    <w:rsid w:val="00B40AD7"/>
    <w:rsid w:val="00B40F85"/>
    <w:rsid w:val="00B40FE3"/>
    <w:rsid w:val="00B41030"/>
    <w:rsid w:val="00B412CB"/>
    <w:rsid w:val="00B4137E"/>
    <w:rsid w:val="00B41996"/>
    <w:rsid w:val="00B41C75"/>
    <w:rsid w:val="00B42201"/>
    <w:rsid w:val="00B422C5"/>
    <w:rsid w:val="00B42ABE"/>
    <w:rsid w:val="00B42AFA"/>
    <w:rsid w:val="00B42D83"/>
    <w:rsid w:val="00B42E36"/>
    <w:rsid w:val="00B42F83"/>
    <w:rsid w:val="00B43201"/>
    <w:rsid w:val="00B434D9"/>
    <w:rsid w:val="00B43AC6"/>
    <w:rsid w:val="00B43C86"/>
    <w:rsid w:val="00B44407"/>
    <w:rsid w:val="00B4468B"/>
    <w:rsid w:val="00B44DBA"/>
    <w:rsid w:val="00B44E48"/>
    <w:rsid w:val="00B450E8"/>
    <w:rsid w:val="00B4552E"/>
    <w:rsid w:val="00B45A9E"/>
    <w:rsid w:val="00B45BB6"/>
    <w:rsid w:val="00B46153"/>
    <w:rsid w:val="00B466FF"/>
    <w:rsid w:val="00B4691F"/>
    <w:rsid w:val="00B46E9F"/>
    <w:rsid w:val="00B4705C"/>
    <w:rsid w:val="00B47068"/>
    <w:rsid w:val="00B4761F"/>
    <w:rsid w:val="00B4769D"/>
    <w:rsid w:val="00B47870"/>
    <w:rsid w:val="00B47DA2"/>
    <w:rsid w:val="00B50BC2"/>
    <w:rsid w:val="00B50D21"/>
    <w:rsid w:val="00B51134"/>
    <w:rsid w:val="00B513A1"/>
    <w:rsid w:val="00B519FE"/>
    <w:rsid w:val="00B51AF3"/>
    <w:rsid w:val="00B51F5B"/>
    <w:rsid w:val="00B527A5"/>
    <w:rsid w:val="00B5294B"/>
    <w:rsid w:val="00B52C20"/>
    <w:rsid w:val="00B53144"/>
    <w:rsid w:val="00B53614"/>
    <w:rsid w:val="00B53B33"/>
    <w:rsid w:val="00B53C53"/>
    <w:rsid w:val="00B53D21"/>
    <w:rsid w:val="00B5424D"/>
    <w:rsid w:val="00B542DC"/>
    <w:rsid w:val="00B54604"/>
    <w:rsid w:val="00B54A20"/>
    <w:rsid w:val="00B54F2D"/>
    <w:rsid w:val="00B559A0"/>
    <w:rsid w:val="00B55AF9"/>
    <w:rsid w:val="00B55BD8"/>
    <w:rsid w:val="00B56229"/>
    <w:rsid w:val="00B56606"/>
    <w:rsid w:val="00B56BBC"/>
    <w:rsid w:val="00B56C61"/>
    <w:rsid w:val="00B56D22"/>
    <w:rsid w:val="00B56E0B"/>
    <w:rsid w:val="00B579EE"/>
    <w:rsid w:val="00B57E61"/>
    <w:rsid w:val="00B57ED5"/>
    <w:rsid w:val="00B60126"/>
    <w:rsid w:val="00B6024B"/>
    <w:rsid w:val="00B6059D"/>
    <w:rsid w:val="00B60754"/>
    <w:rsid w:val="00B60AA0"/>
    <w:rsid w:val="00B614FD"/>
    <w:rsid w:val="00B6176B"/>
    <w:rsid w:val="00B617D5"/>
    <w:rsid w:val="00B61874"/>
    <w:rsid w:val="00B619DB"/>
    <w:rsid w:val="00B61B88"/>
    <w:rsid w:val="00B61E7B"/>
    <w:rsid w:val="00B62231"/>
    <w:rsid w:val="00B622B6"/>
    <w:rsid w:val="00B62415"/>
    <w:rsid w:val="00B6282E"/>
    <w:rsid w:val="00B629AD"/>
    <w:rsid w:val="00B634D8"/>
    <w:rsid w:val="00B63BAC"/>
    <w:rsid w:val="00B64509"/>
    <w:rsid w:val="00B64997"/>
    <w:rsid w:val="00B64B79"/>
    <w:rsid w:val="00B64C87"/>
    <w:rsid w:val="00B652F0"/>
    <w:rsid w:val="00B65D3C"/>
    <w:rsid w:val="00B65DC6"/>
    <w:rsid w:val="00B663C5"/>
    <w:rsid w:val="00B66562"/>
    <w:rsid w:val="00B66AD2"/>
    <w:rsid w:val="00B66D31"/>
    <w:rsid w:val="00B672DA"/>
    <w:rsid w:val="00B6746E"/>
    <w:rsid w:val="00B675BC"/>
    <w:rsid w:val="00B679DF"/>
    <w:rsid w:val="00B7053B"/>
    <w:rsid w:val="00B70581"/>
    <w:rsid w:val="00B70AE0"/>
    <w:rsid w:val="00B70CF8"/>
    <w:rsid w:val="00B70EF0"/>
    <w:rsid w:val="00B70F3A"/>
    <w:rsid w:val="00B711C5"/>
    <w:rsid w:val="00B7128E"/>
    <w:rsid w:val="00B7139A"/>
    <w:rsid w:val="00B715AA"/>
    <w:rsid w:val="00B71B65"/>
    <w:rsid w:val="00B71B8B"/>
    <w:rsid w:val="00B72077"/>
    <w:rsid w:val="00B721F6"/>
    <w:rsid w:val="00B726BF"/>
    <w:rsid w:val="00B730BA"/>
    <w:rsid w:val="00B73408"/>
    <w:rsid w:val="00B73771"/>
    <w:rsid w:val="00B73B99"/>
    <w:rsid w:val="00B73F07"/>
    <w:rsid w:val="00B742A5"/>
    <w:rsid w:val="00B74519"/>
    <w:rsid w:val="00B74F2C"/>
    <w:rsid w:val="00B75214"/>
    <w:rsid w:val="00B757C1"/>
    <w:rsid w:val="00B757E8"/>
    <w:rsid w:val="00B75AB2"/>
    <w:rsid w:val="00B75E2F"/>
    <w:rsid w:val="00B7616E"/>
    <w:rsid w:val="00B761A2"/>
    <w:rsid w:val="00B761DE"/>
    <w:rsid w:val="00B765CC"/>
    <w:rsid w:val="00B76A82"/>
    <w:rsid w:val="00B76D2C"/>
    <w:rsid w:val="00B76D77"/>
    <w:rsid w:val="00B76E00"/>
    <w:rsid w:val="00B76E03"/>
    <w:rsid w:val="00B772FD"/>
    <w:rsid w:val="00B7730F"/>
    <w:rsid w:val="00B77695"/>
    <w:rsid w:val="00B801D0"/>
    <w:rsid w:val="00B80511"/>
    <w:rsid w:val="00B805DC"/>
    <w:rsid w:val="00B80C72"/>
    <w:rsid w:val="00B80ECC"/>
    <w:rsid w:val="00B813E5"/>
    <w:rsid w:val="00B81F47"/>
    <w:rsid w:val="00B8276D"/>
    <w:rsid w:val="00B827E8"/>
    <w:rsid w:val="00B82AAE"/>
    <w:rsid w:val="00B82CE7"/>
    <w:rsid w:val="00B83167"/>
    <w:rsid w:val="00B8385B"/>
    <w:rsid w:val="00B83917"/>
    <w:rsid w:val="00B8396B"/>
    <w:rsid w:val="00B839B5"/>
    <w:rsid w:val="00B83AF2"/>
    <w:rsid w:val="00B83D0D"/>
    <w:rsid w:val="00B83D11"/>
    <w:rsid w:val="00B84374"/>
    <w:rsid w:val="00B844E1"/>
    <w:rsid w:val="00B849E5"/>
    <w:rsid w:val="00B84B9F"/>
    <w:rsid w:val="00B84DB4"/>
    <w:rsid w:val="00B84FC3"/>
    <w:rsid w:val="00B8513D"/>
    <w:rsid w:val="00B851F3"/>
    <w:rsid w:val="00B85C61"/>
    <w:rsid w:val="00B85F43"/>
    <w:rsid w:val="00B85F7E"/>
    <w:rsid w:val="00B8611E"/>
    <w:rsid w:val="00B863C4"/>
    <w:rsid w:val="00B863FD"/>
    <w:rsid w:val="00B8694E"/>
    <w:rsid w:val="00B86AA8"/>
    <w:rsid w:val="00B86B75"/>
    <w:rsid w:val="00B86BD6"/>
    <w:rsid w:val="00B86C41"/>
    <w:rsid w:val="00B877FA"/>
    <w:rsid w:val="00B8786E"/>
    <w:rsid w:val="00B87CAD"/>
    <w:rsid w:val="00B9023F"/>
    <w:rsid w:val="00B9066D"/>
    <w:rsid w:val="00B906C8"/>
    <w:rsid w:val="00B90966"/>
    <w:rsid w:val="00B90B2A"/>
    <w:rsid w:val="00B90DBB"/>
    <w:rsid w:val="00B915A1"/>
    <w:rsid w:val="00B915BB"/>
    <w:rsid w:val="00B919D0"/>
    <w:rsid w:val="00B91C60"/>
    <w:rsid w:val="00B922E2"/>
    <w:rsid w:val="00B92730"/>
    <w:rsid w:val="00B92A55"/>
    <w:rsid w:val="00B92CDD"/>
    <w:rsid w:val="00B92DB1"/>
    <w:rsid w:val="00B936CF"/>
    <w:rsid w:val="00B93717"/>
    <w:rsid w:val="00B93766"/>
    <w:rsid w:val="00B93811"/>
    <w:rsid w:val="00B93B44"/>
    <w:rsid w:val="00B952BC"/>
    <w:rsid w:val="00B95573"/>
    <w:rsid w:val="00B958D4"/>
    <w:rsid w:val="00B95C99"/>
    <w:rsid w:val="00B95D0A"/>
    <w:rsid w:val="00B96B52"/>
    <w:rsid w:val="00B96CAC"/>
    <w:rsid w:val="00B97060"/>
    <w:rsid w:val="00B970A2"/>
    <w:rsid w:val="00B970AD"/>
    <w:rsid w:val="00B9729B"/>
    <w:rsid w:val="00B9757C"/>
    <w:rsid w:val="00B9790C"/>
    <w:rsid w:val="00B97A9E"/>
    <w:rsid w:val="00B97AAC"/>
    <w:rsid w:val="00B97BE9"/>
    <w:rsid w:val="00BA0002"/>
    <w:rsid w:val="00BA0795"/>
    <w:rsid w:val="00BA0BAB"/>
    <w:rsid w:val="00BA16BF"/>
    <w:rsid w:val="00BA2316"/>
    <w:rsid w:val="00BA292E"/>
    <w:rsid w:val="00BA2ADB"/>
    <w:rsid w:val="00BA2AFC"/>
    <w:rsid w:val="00BA2C71"/>
    <w:rsid w:val="00BA3030"/>
    <w:rsid w:val="00BA3192"/>
    <w:rsid w:val="00BA3C31"/>
    <w:rsid w:val="00BA3C36"/>
    <w:rsid w:val="00BA43A4"/>
    <w:rsid w:val="00BA46D3"/>
    <w:rsid w:val="00BA4794"/>
    <w:rsid w:val="00BA48DC"/>
    <w:rsid w:val="00BA4AA0"/>
    <w:rsid w:val="00BA4ACD"/>
    <w:rsid w:val="00BA543A"/>
    <w:rsid w:val="00BA5650"/>
    <w:rsid w:val="00BA5B02"/>
    <w:rsid w:val="00BA5DEF"/>
    <w:rsid w:val="00BA5E31"/>
    <w:rsid w:val="00BA5E3A"/>
    <w:rsid w:val="00BA631E"/>
    <w:rsid w:val="00BA6829"/>
    <w:rsid w:val="00BA6D9D"/>
    <w:rsid w:val="00BA7124"/>
    <w:rsid w:val="00BA729A"/>
    <w:rsid w:val="00BA7380"/>
    <w:rsid w:val="00BA76B2"/>
    <w:rsid w:val="00BA77ED"/>
    <w:rsid w:val="00BA783B"/>
    <w:rsid w:val="00BA7A9F"/>
    <w:rsid w:val="00BA7AC2"/>
    <w:rsid w:val="00BA7EE0"/>
    <w:rsid w:val="00BB0186"/>
    <w:rsid w:val="00BB0246"/>
    <w:rsid w:val="00BB0474"/>
    <w:rsid w:val="00BB09FB"/>
    <w:rsid w:val="00BB0B3E"/>
    <w:rsid w:val="00BB0D15"/>
    <w:rsid w:val="00BB1348"/>
    <w:rsid w:val="00BB1B2C"/>
    <w:rsid w:val="00BB1B8C"/>
    <w:rsid w:val="00BB1D18"/>
    <w:rsid w:val="00BB200E"/>
    <w:rsid w:val="00BB2077"/>
    <w:rsid w:val="00BB2316"/>
    <w:rsid w:val="00BB2763"/>
    <w:rsid w:val="00BB2A87"/>
    <w:rsid w:val="00BB2B4D"/>
    <w:rsid w:val="00BB2D6B"/>
    <w:rsid w:val="00BB2EB6"/>
    <w:rsid w:val="00BB3048"/>
    <w:rsid w:val="00BB31B6"/>
    <w:rsid w:val="00BB3212"/>
    <w:rsid w:val="00BB37A9"/>
    <w:rsid w:val="00BB3AC0"/>
    <w:rsid w:val="00BB3CE4"/>
    <w:rsid w:val="00BB4136"/>
    <w:rsid w:val="00BB484C"/>
    <w:rsid w:val="00BB4B29"/>
    <w:rsid w:val="00BB4D24"/>
    <w:rsid w:val="00BB5627"/>
    <w:rsid w:val="00BB5674"/>
    <w:rsid w:val="00BB569D"/>
    <w:rsid w:val="00BB58EF"/>
    <w:rsid w:val="00BB5CC2"/>
    <w:rsid w:val="00BB5D4D"/>
    <w:rsid w:val="00BB5D85"/>
    <w:rsid w:val="00BB6211"/>
    <w:rsid w:val="00BB64DA"/>
    <w:rsid w:val="00BB675A"/>
    <w:rsid w:val="00BB6992"/>
    <w:rsid w:val="00BB6D8F"/>
    <w:rsid w:val="00BB6D97"/>
    <w:rsid w:val="00BB70C4"/>
    <w:rsid w:val="00BB71A1"/>
    <w:rsid w:val="00BB7238"/>
    <w:rsid w:val="00BB7292"/>
    <w:rsid w:val="00BC0409"/>
    <w:rsid w:val="00BC09F5"/>
    <w:rsid w:val="00BC0C3D"/>
    <w:rsid w:val="00BC1005"/>
    <w:rsid w:val="00BC11C3"/>
    <w:rsid w:val="00BC1235"/>
    <w:rsid w:val="00BC1CD1"/>
    <w:rsid w:val="00BC1E70"/>
    <w:rsid w:val="00BC224A"/>
    <w:rsid w:val="00BC325C"/>
    <w:rsid w:val="00BC3356"/>
    <w:rsid w:val="00BC3609"/>
    <w:rsid w:val="00BC3841"/>
    <w:rsid w:val="00BC3874"/>
    <w:rsid w:val="00BC38C4"/>
    <w:rsid w:val="00BC3E85"/>
    <w:rsid w:val="00BC3FCD"/>
    <w:rsid w:val="00BC43D6"/>
    <w:rsid w:val="00BC4540"/>
    <w:rsid w:val="00BC457D"/>
    <w:rsid w:val="00BC48DD"/>
    <w:rsid w:val="00BC4A19"/>
    <w:rsid w:val="00BC4C00"/>
    <w:rsid w:val="00BC4C84"/>
    <w:rsid w:val="00BC57DF"/>
    <w:rsid w:val="00BC5C30"/>
    <w:rsid w:val="00BC60ED"/>
    <w:rsid w:val="00BC618C"/>
    <w:rsid w:val="00BC7062"/>
    <w:rsid w:val="00BC7737"/>
    <w:rsid w:val="00BD019C"/>
    <w:rsid w:val="00BD0289"/>
    <w:rsid w:val="00BD078E"/>
    <w:rsid w:val="00BD0A5C"/>
    <w:rsid w:val="00BD0EF3"/>
    <w:rsid w:val="00BD0FA7"/>
    <w:rsid w:val="00BD1078"/>
    <w:rsid w:val="00BD1186"/>
    <w:rsid w:val="00BD11F5"/>
    <w:rsid w:val="00BD157D"/>
    <w:rsid w:val="00BD177D"/>
    <w:rsid w:val="00BD17F9"/>
    <w:rsid w:val="00BD183C"/>
    <w:rsid w:val="00BD1EFE"/>
    <w:rsid w:val="00BD2A7D"/>
    <w:rsid w:val="00BD3114"/>
    <w:rsid w:val="00BD371F"/>
    <w:rsid w:val="00BD3A76"/>
    <w:rsid w:val="00BD3CC7"/>
    <w:rsid w:val="00BD421B"/>
    <w:rsid w:val="00BD46F4"/>
    <w:rsid w:val="00BD488D"/>
    <w:rsid w:val="00BD4995"/>
    <w:rsid w:val="00BD4CE6"/>
    <w:rsid w:val="00BD5329"/>
    <w:rsid w:val="00BD5373"/>
    <w:rsid w:val="00BD54AE"/>
    <w:rsid w:val="00BD661A"/>
    <w:rsid w:val="00BD662F"/>
    <w:rsid w:val="00BD69B4"/>
    <w:rsid w:val="00BD6AD5"/>
    <w:rsid w:val="00BD6DB3"/>
    <w:rsid w:val="00BD6F0A"/>
    <w:rsid w:val="00BD70F1"/>
    <w:rsid w:val="00BD73FF"/>
    <w:rsid w:val="00BD767A"/>
    <w:rsid w:val="00BD7906"/>
    <w:rsid w:val="00BD79B0"/>
    <w:rsid w:val="00BD7BC0"/>
    <w:rsid w:val="00BD7EDA"/>
    <w:rsid w:val="00BE0AFD"/>
    <w:rsid w:val="00BE0E83"/>
    <w:rsid w:val="00BE0F2E"/>
    <w:rsid w:val="00BE1187"/>
    <w:rsid w:val="00BE119A"/>
    <w:rsid w:val="00BE134B"/>
    <w:rsid w:val="00BE153F"/>
    <w:rsid w:val="00BE16B6"/>
    <w:rsid w:val="00BE1981"/>
    <w:rsid w:val="00BE2704"/>
    <w:rsid w:val="00BE27DD"/>
    <w:rsid w:val="00BE29C6"/>
    <w:rsid w:val="00BE2FF0"/>
    <w:rsid w:val="00BE3094"/>
    <w:rsid w:val="00BE3360"/>
    <w:rsid w:val="00BE34DF"/>
    <w:rsid w:val="00BE3969"/>
    <w:rsid w:val="00BE4563"/>
    <w:rsid w:val="00BE461A"/>
    <w:rsid w:val="00BE4AE5"/>
    <w:rsid w:val="00BE5B41"/>
    <w:rsid w:val="00BE5B84"/>
    <w:rsid w:val="00BE637C"/>
    <w:rsid w:val="00BE6925"/>
    <w:rsid w:val="00BE6C8C"/>
    <w:rsid w:val="00BE6CA7"/>
    <w:rsid w:val="00BE7477"/>
    <w:rsid w:val="00BE753B"/>
    <w:rsid w:val="00BE7F97"/>
    <w:rsid w:val="00BF002B"/>
    <w:rsid w:val="00BF0FAA"/>
    <w:rsid w:val="00BF1436"/>
    <w:rsid w:val="00BF1717"/>
    <w:rsid w:val="00BF17A2"/>
    <w:rsid w:val="00BF1A3D"/>
    <w:rsid w:val="00BF1B70"/>
    <w:rsid w:val="00BF1C70"/>
    <w:rsid w:val="00BF1DB6"/>
    <w:rsid w:val="00BF2730"/>
    <w:rsid w:val="00BF2886"/>
    <w:rsid w:val="00BF28ED"/>
    <w:rsid w:val="00BF292D"/>
    <w:rsid w:val="00BF2D05"/>
    <w:rsid w:val="00BF2E6D"/>
    <w:rsid w:val="00BF3486"/>
    <w:rsid w:val="00BF3713"/>
    <w:rsid w:val="00BF37B4"/>
    <w:rsid w:val="00BF3C37"/>
    <w:rsid w:val="00BF3DDA"/>
    <w:rsid w:val="00BF3FA4"/>
    <w:rsid w:val="00BF4087"/>
    <w:rsid w:val="00BF42F1"/>
    <w:rsid w:val="00BF45BE"/>
    <w:rsid w:val="00BF4AD7"/>
    <w:rsid w:val="00BF5264"/>
    <w:rsid w:val="00BF57C3"/>
    <w:rsid w:val="00BF62A6"/>
    <w:rsid w:val="00BF6E53"/>
    <w:rsid w:val="00BF7021"/>
    <w:rsid w:val="00BF7AFA"/>
    <w:rsid w:val="00BF7BA9"/>
    <w:rsid w:val="00C0015A"/>
    <w:rsid w:val="00C008C0"/>
    <w:rsid w:val="00C00A38"/>
    <w:rsid w:val="00C00CD0"/>
    <w:rsid w:val="00C00D79"/>
    <w:rsid w:val="00C00E8D"/>
    <w:rsid w:val="00C016C1"/>
    <w:rsid w:val="00C01B64"/>
    <w:rsid w:val="00C01DA3"/>
    <w:rsid w:val="00C01E3D"/>
    <w:rsid w:val="00C01F29"/>
    <w:rsid w:val="00C01FAB"/>
    <w:rsid w:val="00C01FC0"/>
    <w:rsid w:val="00C0297D"/>
    <w:rsid w:val="00C02F47"/>
    <w:rsid w:val="00C03462"/>
    <w:rsid w:val="00C0373A"/>
    <w:rsid w:val="00C038BF"/>
    <w:rsid w:val="00C03B75"/>
    <w:rsid w:val="00C04411"/>
    <w:rsid w:val="00C04599"/>
    <w:rsid w:val="00C04709"/>
    <w:rsid w:val="00C047DC"/>
    <w:rsid w:val="00C04CF8"/>
    <w:rsid w:val="00C050C4"/>
    <w:rsid w:val="00C05213"/>
    <w:rsid w:val="00C0566D"/>
    <w:rsid w:val="00C05FEC"/>
    <w:rsid w:val="00C0643D"/>
    <w:rsid w:val="00C065CF"/>
    <w:rsid w:val="00C0664F"/>
    <w:rsid w:val="00C068AA"/>
    <w:rsid w:val="00C070EC"/>
    <w:rsid w:val="00C07140"/>
    <w:rsid w:val="00C07298"/>
    <w:rsid w:val="00C075F2"/>
    <w:rsid w:val="00C07BA1"/>
    <w:rsid w:val="00C07E64"/>
    <w:rsid w:val="00C104DA"/>
    <w:rsid w:val="00C1057E"/>
    <w:rsid w:val="00C108FE"/>
    <w:rsid w:val="00C10C7F"/>
    <w:rsid w:val="00C11B13"/>
    <w:rsid w:val="00C11C25"/>
    <w:rsid w:val="00C11D55"/>
    <w:rsid w:val="00C11E07"/>
    <w:rsid w:val="00C11E7C"/>
    <w:rsid w:val="00C12031"/>
    <w:rsid w:val="00C12153"/>
    <w:rsid w:val="00C1241C"/>
    <w:rsid w:val="00C127D8"/>
    <w:rsid w:val="00C12CF8"/>
    <w:rsid w:val="00C12F64"/>
    <w:rsid w:val="00C141CC"/>
    <w:rsid w:val="00C14229"/>
    <w:rsid w:val="00C142A6"/>
    <w:rsid w:val="00C143C3"/>
    <w:rsid w:val="00C146A7"/>
    <w:rsid w:val="00C14709"/>
    <w:rsid w:val="00C14916"/>
    <w:rsid w:val="00C15553"/>
    <w:rsid w:val="00C1558F"/>
    <w:rsid w:val="00C15B23"/>
    <w:rsid w:val="00C15C50"/>
    <w:rsid w:val="00C163F3"/>
    <w:rsid w:val="00C167AE"/>
    <w:rsid w:val="00C167BE"/>
    <w:rsid w:val="00C16F5D"/>
    <w:rsid w:val="00C17253"/>
    <w:rsid w:val="00C17602"/>
    <w:rsid w:val="00C17D30"/>
    <w:rsid w:val="00C17DF3"/>
    <w:rsid w:val="00C17E0A"/>
    <w:rsid w:val="00C17F70"/>
    <w:rsid w:val="00C20211"/>
    <w:rsid w:val="00C20503"/>
    <w:rsid w:val="00C2064C"/>
    <w:rsid w:val="00C20999"/>
    <w:rsid w:val="00C20A6F"/>
    <w:rsid w:val="00C20CF3"/>
    <w:rsid w:val="00C20F6C"/>
    <w:rsid w:val="00C21714"/>
    <w:rsid w:val="00C22278"/>
    <w:rsid w:val="00C22457"/>
    <w:rsid w:val="00C22600"/>
    <w:rsid w:val="00C22628"/>
    <w:rsid w:val="00C228F6"/>
    <w:rsid w:val="00C22C12"/>
    <w:rsid w:val="00C22DB3"/>
    <w:rsid w:val="00C23397"/>
    <w:rsid w:val="00C2339B"/>
    <w:rsid w:val="00C2360E"/>
    <w:rsid w:val="00C2476F"/>
    <w:rsid w:val="00C248B4"/>
    <w:rsid w:val="00C24C80"/>
    <w:rsid w:val="00C24CE3"/>
    <w:rsid w:val="00C252B9"/>
    <w:rsid w:val="00C2539C"/>
    <w:rsid w:val="00C2540C"/>
    <w:rsid w:val="00C2545E"/>
    <w:rsid w:val="00C25477"/>
    <w:rsid w:val="00C25823"/>
    <w:rsid w:val="00C25D9B"/>
    <w:rsid w:val="00C25DE0"/>
    <w:rsid w:val="00C25F7B"/>
    <w:rsid w:val="00C2606A"/>
    <w:rsid w:val="00C264E2"/>
    <w:rsid w:val="00C269A2"/>
    <w:rsid w:val="00C26C0F"/>
    <w:rsid w:val="00C26EC3"/>
    <w:rsid w:val="00C2758E"/>
    <w:rsid w:val="00C27B89"/>
    <w:rsid w:val="00C27D71"/>
    <w:rsid w:val="00C3015C"/>
    <w:rsid w:val="00C3017E"/>
    <w:rsid w:val="00C3057E"/>
    <w:rsid w:val="00C31BBD"/>
    <w:rsid w:val="00C31CA5"/>
    <w:rsid w:val="00C31F56"/>
    <w:rsid w:val="00C326AA"/>
    <w:rsid w:val="00C330D7"/>
    <w:rsid w:val="00C3350A"/>
    <w:rsid w:val="00C33560"/>
    <w:rsid w:val="00C3388D"/>
    <w:rsid w:val="00C33A7C"/>
    <w:rsid w:val="00C33AB1"/>
    <w:rsid w:val="00C33BC7"/>
    <w:rsid w:val="00C33EC9"/>
    <w:rsid w:val="00C3439B"/>
    <w:rsid w:val="00C34433"/>
    <w:rsid w:val="00C34787"/>
    <w:rsid w:val="00C3479B"/>
    <w:rsid w:val="00C34A6C"/>
    <w:rsid w:val="00C34A89"/>
    <w:rsid w:val="00C34AA4"/>
    <w:rsid w:val="00C34C53"/>
    <w:rsid w:val="00C35189"/>
    <w:rsid w:val="00C35224"/>
    <w:rsid w:val="00C3560C"/>
    <w:rsid w:val="00C356C1"/>
    <w:rsid w:val="00C36144"/>
    <w:rsid w:val="00C36237"/>
    <w:rsid w:val="00C36882"/>
    <w:rsid w:val="00C36BF6"/>
    <w:rsid w:val="00C36D27"/>
    <w:rsid w:val="00C36F64"/>
    <w:rsid w:val="00C37008"/>
    <w:rsid w:val="00C37708"/>
    <w:rsid w:val="00C37AA4"/>
    <w:rsid w:val="00C37E2D"/>
    <w:rsid w:val="00C40098"/>
    <w:rsid w:val="00C40186"/>
    <w:rsid w:val="00C403F0"/>
    <w:rsid w:val="00C4072F"/>
    <w:rsid w:val="00C409EA"/>
    <w:rsid w:val="00C40AEA"/>
    <w:rsid w:val="00C40C90"/>
    <w:rsid w:val="00C41015"/>
    <w:rsid w:val="00C417E4"/>
    <w:rsid w:val="00C41DA3"/>
    <w:rsid w:val="00C41FDB"/>
    <w:rsid w:val="00C42150"/>
    <w:rsid w:val="00C427A7"/>
    <w:rsid w:val="00C42861"/>
    <w:rsid w:val="00C4337F"/>
    <w:rsid w:val="00C43A36"/>
    <w:rsid w:val="00C43CEA"/>
    <w:rsid w:val="00C43E4F"/>
    <w:rsid w:val="00C4426A"/>
    <w:rsid w:val="00C44526"/>
    <w:rsid w:val="00C44546"/>
    <w:rsid w:val="00C446E6"/>
    <w:rsid w:val="00C4497C"/>
    <w:rsid w:val="00C44C6F"/>
    <w:rsid w:val="00C44DC1"/>
    <w:rsid w:val="00C44F86"/>
    <w:rsid w:val="00C44FFE"/>
    <w:rsid w:val="00C45085"/>
    <w:rsid w:val="00C454E1"/>
    <w:rsid w:val="00C45678"/>
    <w:rsid w:val="00C457BB"/>
    <w:rsid w:val="00C457BF"/>
    <w:rsid w:val="00C4599F"/>
    <w:rsid w:val="00C45F62"/>
    <w:rsid w:val="00C46042"/>
    <w:rsid w:val="00C46080"/>
    <w:rsid w:val="00C46331"/>
    <w:rsid w:val="00C46427"/>
    <w:rsid w:val="00C4649B"/>
    <w:rsid w:val="00C46967"/>
    <w:rsid w:val="00C46DC9"/>
    <w:rsid w:val="00C46E01"/>
    <w:rsid w:val="00C4763B"/>
    <w:rsid w:val="00C4770F"/>
    <w:rsid w:val="00C47C35"/>
    <w:rsid w:val="00C47F27"/>
    <w:rsid w:val="00C5012A"/>
    <w:rsid w:val="00C50CB7"/>
    <w:rsid w:val="00C51B16"/>
    <w:rsid w:val="00C52346"/>
    <w:rsid w:val="00C52677"/>
    <w:rsid w:val="00C52805"/>
    <w:rsid w:val="00C52A6D"/>
    <w:rsid w:val="00C53B82"/>
    <w:rsid w:val="00C53E6F"/>
    <w:rsid w:val="00C5406D"/>
    <w:rsid w:val="00C5430B"/>
    <w:rsid w:val="00C56AD5"/>
    <w:rsid w:val="00C57035"/>
    <w:rsid w:val="00C572B3"/>
    <w:rsid w:val="00C577D4"/>
    <w:rsid w:val="00C5781A"/>
    <w:rsid w:val="00C57972"/>
    <w:rsid w:val="00C57B3B"/>
    <w:rsid w:val="00C57EDF"/>
    <w:rsid w:val="00C6008A"/>
    <w:rsid w:val="00C6017E"/>
    <w:rsid w:val="00C601F6"/>
    <w:rsid w:val="00C602FC"/>
    <w:rsid w:val="00C60648"/>
    <w:rsid w:val="00C60922"/>
    <w:rsid w:val="00C609CC"/>
    <w:rsid w:val="00C60B69"/>
    <w:rsid w:val="00C60B96"/>
    <w:rsid w:val="00C60B99"/>
    <w:rsid w:val="00C60C4A"/>
    <w:rsid w:val="00C60C70"/>
    <w:rsid w:val="00C61019"/>
    <w:rsid w:val="00C61651"/>
    <w:rsid w:val="00C621C0"/>
    <w:rsid w:val="00C625EF"/>
    <w:rsid w:val="00C6267D"/>
    <w:rsid w:val="00C62889"/>
    <w:rsid w:val="00C62A71"/>
    <w:rsid w:val="00C63210"/>
    <w:rsid w:val="00C63351"/>
    <w:rsid w:val="00C63E16"/>
    <w:rsid w:val="00C6436B"/>
    <w:rsid w:val="00C643E5"/>
    <w:rsid w:val="00C64447"/>
    <w:rsid w:val="00C64B4F"/>
    <w:rsid w:val="00C64DCD"/>
    <w:rsid w:val="00C64F35"/>
    <w:rsid w:val="00C6533B"/>
    <w:rsid w:val="00C653AB"/>
    <w:rsid w:val="00C65B68"/>
    <w:rsid w:val="00C65C40"/>
    <w:rsid w:val="00C660A2"/>
    <w:rsid w:val="00C662AD"/>
    <w:rsid w:val="00C67474"/>
    <w:rsid w:val="00C677BE"/>
    <w:rsid w:val="00C67806"/>
    <w:rsid w:val="00C67810"/>
    <w:rsid w:val="00C678B0"/>
    <w:rsid w:val="00C67A71"/>
    <w:rsid w:val="00C700EA"/>
    <w:rsid w:val="00C70912"/>
    <w:rsid w:val="00C70B4F"/>
    <w:rsid w:val="00C7124C"/>
    <w:rsid w:val="00C71699"/>
    <w:rsid w:val="00C717DF"/>
    <w:rsid w:val="00C71BE7"/>
    <w:rsid w:val="00C71CD4"/>
    <w:rsid w:val="00C721D2"/>
    <w:rsid w:val="00C724D8"/>
    <w:rsid w:val="00C7261F"/>
    <w:rsid w:val="00C726AE"/>
    <w:rsid w:val="00C72759"/>
    <w:rsid w:val="00C727CF"/>
    <w:rsid w:val="00C72B34"/>
    <w:rsid w:val="00C72B6F"/>
    <w:rsid w:val="00C730E5"/>
    <w:rsid w:val="00C7332C"/>
    <w:rsid w:val="00C736DD"/>
    <w:rsid w:val="00C7483D"/>
    <w:rsid w:val="00C748E5"/>
    <w:rsid w:val="00C74C3E"/>
    <w:rsid w:val="00C75ADF"/>
    <w:rsid w:val="00C75CAA"/>
    <w:rsid w:val="00C76115"/>
    <w:rsid w:val="00C762C9"/>
    <w:rsid w:val="00C76F79"/>
    <w:rsid w:val="00C7754A"/>
    <w:rsid w:val="00C77C0A"/>
    <w:rsid w:val="00C8007C"/>
    <w:rsid w:val="00C8023B"/>
    <w:rsid w:val="00C8026C"/>
    <w:rsid w:val="00C8053D"/>
    <w:rsid w:val="00C806C6"/>
    <w:rsid w:val="00C80862"/>
    <w:rsid w:val="00C8094C"/>
    <w:rsid w:val="00C80CA9"/>
    <w:rsid w:val="00C80FC8"/>
    <w:rsid w:val="00C816D8"/>
    <w:rsid w:val="00C81873"/>
    <w:rsid w:val="00C81E27"/>
    <w:rsid w:val="00C8275A"/>
    <w:rsid w:val="00C8282D"/>
    <w:rsid w:val="00C828AD"/>
    <w:rsid w:val="00C82952"/>
    <w:rsid w:val="00C82AAB"/>
    <w:rsid w:val="00C82BAA"/>
    <w:rsid w:val="00C83970"/>
    <w:rsid w:val="00C83B45"/>
    <w:rsid w:val="00C84EF8"/>
    <w:rsid w:val="00C8538B"/>
    <w:rsid w:val="00C853EF"/>
    <w:rsid w:val="00C854F8"/>
    <w:rsid w:val="00C85818"/>
    <w:rsid w:val="00C85CEB"/>
    <w:rsid w:val="00C8621E"/>
    <w:rsid w:val="00C8649B"/>
    <w:rsid w:val="00C867DD"/>
    <w:rsid w:val="00C86C5B"/>
    <w:rsid w:val="00C87040"/>
    <w:rsid w:val="00C873F2"/>
    <w:rsid w:val="00C874CF"/>
    <w:rsid w:val="00C8785A"/>
    <w:rsid w:val="00C878B7"/>
    <w:rsid w:val="00C901FB"/>
    <w:rsid w:val="00C90350"/>
    <w:rsid w:val="00C90588"/>
    <w:rsid w:val="00C905D1"/>
    <w:rsid w:val="00C90678"/>
    <w:rsid w:val="00C9108C"/>
    <w:rsid w:val="00C911B0"/>
    <w:rsid w:val="00C9170A"/>
    <w:rsid w:val="00C91844"/>
    <w:rsid w:val="00C91D6D"/>
    <w:rsid w:val="00C91E36"/>
    <w:rsid w:val="00C9211F"/>
    <w:rsid w:val="00C92F27"/>
    <w:rsid w:val="00C930ED"/>
    <w:rsid w:val="00C937F6"/>
    <w:rsid w:val="00C93833"/>
    <w:rsid w:val="00C93CB5"/>
    <w:rsid w:val="00C9451E"/>
    <w:rsid w:val="00C9458C"/>
    <w:rsid w:val="00C94719"/>
    <w:rsid w:val="00C9477E"/>
    <w:rsid w:val="00C947C1"/>
    <w:rsid w:val="00C948DA"/>
    <w:rsid w:val="00C948FE"/>
    <w:rsid w:val="00C94AF1"/>
    <w:rsid w:val="00C94D66"/>
    <w:rsid w:val="00C94DF6"/>
    <w:rsid w:val="00C95720"/>
    <w:rsid w:val="00C9585B"/>
    <w:rsid w:val="00C958F9"/>
    <w:rsid w:val="00C95BFB"/>
    <w:rsid w:val="00C95C4C"/>
    <w:rsid w:val="00C95D49"/>
    <w:rsid w:val="00C96542"/>
    <w:rsid w:val="00C96715"/>
    <w:rsid w:val="00C96818"/>
    <w:rsid w:val="00C96B01"/>
    <w:rsid w:val="00C96DC6"/>
    <w:rsid w:val="00C96E4A"/>
    <w:rsid w:val="00C96F1F"/>
    <w:rsid w:val="00C97391"/>
    <w:rsid w:val="00C978D9"/>
    <w:rsid w:val="00C97D59"/>
    <w:rsid w:val="00C97EA9"/>
    <w:rsid w:val="00CA0150"/>
    <w:rsid w:val="00CA049F"/>
    <w:rsid w:val="00CA04C0"/>
    <w:rsid w:val="00CA0A9F"/>
    <w:rsid w:val="00CA0DC9"/>
    <w:rsid w:val="00CA10D8"/>
    <w:rsid w:val="00CA1183"/>
    <w:rsid w:val="00CA11DF"/>
    <w:rsid w:val="00CA1524"/>
    <w:rsid w:val="00CA187E"/>
    <w:rsid w:val="00CA19B0"/>
    <w:rsid w:val="00CA205B"/>
    <w:rsid w:val="00CA3176"/>
    <w:rsid w:val="00CA345B"/>
    <w:rsid w:val="00CA38EE"/>
    <w:rsid w:val="00CA3BD0"/>
    <w:rsid w:val="00CA3D94"/>
    <w:rsid w:val="00CA4119"/>
    <w:rsid w:val="00CA4502"/>
    <w:rsid w:val="00CA4591"/>
    <w:rsid w:val="00CA45BA"/>
    <w:rsid w:val="00CA4712"/>
    <w:rsid w:val="00CA4CCA"/>
    <w:rsid w:val="00CA4D5E"/>
    <w:rsid w:val="00CA5136"/>
    <w:rsid w:val="00CA51BD"/>
    <w:rsid w:val="00CA5210"/>
    <w:rsid w:val="00CA54C4"/>
    <w:rsid w:val="00CA5651"/>
    <w:rsid w:val="00CA5B0A"/>
    <w:rsid w:val="00CA5C62"/>
    <w:rsid w:val="00CA5E38"/>
    <w:rsid w:val="00CA63CF"/>
    <w:rsid w:val="00CA64A6"/>
    <w:rsid w:val="00CA657E"/>
    <w:rsid w:val="00CA6BA9"/>
    <w:rsid w:val="00CA6C10"/>
    <w:rsid w:val="00CA722C"/>
    <w:rsid w:val="00CA73AF"/>
    <w:rsid w:val="00CA750B"/>
    <w:rsid w:val="00CA76C5"/>
    <w:rsid w:val="00CA7998"/>
    <w:rsid w:val="00CA7FB8"/>
    <w:rsid w:val="00CB05BA"/>
    <w:rsid w:val="00CB078D"/>
    <w:rsid w:val="00CB0824"/>
    <w:rsid w:val="00CB085A"/>
    <w:rsid w:val="00CB113D"/>
    <w:rsid w:val="00CB17F1"/>
    <w:rsid w:val="00CB2279"/>
    <w:rsid w:val="00CB239A"/>
    <w:rsid w:val="00CB24B8"/>
    <w:rsid w:val="00CB26DD"/>
    <w:rsid w:val="00CB282C"/>
    <w:rsid w:val="00CB2868"/>
    <w:rsid w:val="00CB29B1"/>
    <w:rsid w:val="00CB2A75"/>
    <w:rsid w:val="00CB2B6A"/>
    <w:rsid w:val="00CB2CAD"/>
    <w:rsid w:val="00CB2E72"/>
    <w:rsid w:val="00CB3104"/>
    <w:rsid w:val="00CB324D"/>
    <w:rsid w:val="00CB406E"/>
    <w:rsid w:val="00CB4C80"/>
    <w:rsid w:val="00CB4D61"/>
    <w:rsid w:val="00CB5198"/>
    <w:rsid w:val="00CB55F8"/>
    <w:rsid w:val="00CB5616"/>
    <w:rsid w:val="00CB59A9"/>
    <w:rsid w:val="00CB5D3D"/>
    <w:rsid w:val="00CB60B3"/>
    <w:rsid w:val="00CB61F8"/>
    <w:rsid w:val="00CB6222"/>
    <w:rsid w:val="00CB6460"/>
    <w:rsid w:val="00CB64C7"/>
    <w:rsid w:val="00CB64F9"/>
    <w:rsid w:val="00CB691D"/>
    <w:rsid w:val="00CB698B"/>
    <w:rsid w:val="00CB6D3D"/>
    <w:rsid w:val="00CB6ED1"/>
    <w:rsid w:val="00CB6F39"/>
    <w:rsid w:val="00CB6FB3"/>
    <w:rsid w:val="00CB7124"/>
    <w:rsid w:val="00CB71C6"/>
    <w:rsid w:val="00CB722E"/>
    <w:rsid w:val="00CB74A4"/>
    <w:rsid w:val="00CB7BA9"/>
    <w:rsid w:val="00CB7D2B"/>
    <w:rsid w:val="00CB7D2F"/>
    <w:rsid w:val="00CC01D1"/>
    <w:rsid w:val="00CC04AC"/>
    <w:rsid w:val="00CC0564"/>
    <w:rsid w:val="00CC059A"/>
    <w:rsid w:val="00CC090E"/>
    <w:rsid w:val="00CC0A09"/>
    <w:rsid w:val="00CC1A21"/>
    <w:rsid w:val="00CC1DBF"/>
    <w:rsid w:val="00CC23EB"/>
    <w:rsid w:val="00CC24B9"/>
    <w:rsid w:val="00CC25F0"/>
    <w:rsid w:val="00CC2691"/>
    <w:rsid w:val="00CC2977"/>
    <w:rsid w:val="00CC2A00"/>
    <w:rsid w:val="00CC2A95"/>
    <w:rsid w:val="00CC2B98"/>
    <w:rsid w:val="00CC2BF4"/>
    <w:rsid w:val="00CC2E12"/>
    <w:rsid w:val="00CC2F9F"/>
    <w:rsid w:val="00CC34CF"/>
    <w:rsid w:val="00CC38E4"/>
    <w:rsid w:val="00CC4AC6"/>
    <w:rsid w:val="00CC4E66"/>
    <w:rsid w:val="00CC4F61"/>
    <w:rsid w:val="00CC5020"/>
    <w:rsid w:val="00CC5523"/>
    <w:rsid w:val="00CC5642"/>
    <w:rsid w:val="00CC58AF"/>
    <w:rsid w:val="00CC5936"/>
    <w:rsid w:val="00CC5EEF"/>
    <w:rsid w:val="00CC648F"/>
    <w:rsid w:val="00CC6738"/>
    <w:rsid w:val="00CC67A5"/>
    <w:rsid w:val="00CC6C50"/>
    <w:rsid w:val="00CC6D7F"/>
    <w:rsid w:val="00CC718D"/>
    <w:rsid w:val="00CC7420"/>
    <w:rsid w:val="00CC742E"/>
    <w:rsid w:val="00CC75C1"/>
    <w:rsid w:val="00CC76CC"/>
    <w:rsid w:val="00CC7E5E"/>
    <w:rsid w:val="00CD0419"/>
    <w:rsid w:val="00CD04F0"/>
    <w:rsid w:val="00CD0CDA"/>
    <w:rsid w:val="00CD11DE"/>
    <w:rsid w:val="00CD1421"/>
    <w:rsid w:val="00CD1663"/>
    <w:rsid w:val="00CD184A"/>
    <w:rsid w:val="00CD1A64"/>
    <w:rsid w:val="00CD1C2E"/>
    <w:rsid w:val="00CD1D5A"/>
    <w:rsid w:val="00CD220B"/>
    <w:rsid w:val="00CD2296"/>
    <w:rsid w:val="00CD22D3"/>
    <w:rsid w:val="00CD22DE"/>
    <w:rsid w:val="00CD2518"/>
    <w:rsid w:val="00CD25BC"/>
    <w:rsid w:val="00CD2642"/>
    <w:rsid w:val="00CD2B00"/>
    <w:rsid w:val="00CD2BB4"/>
    <w:rsid w:val="00CD2D9B"/>
    <w:rsid w:val="00CD3076"/>
    <w:rsid w:val="00CD3460"/>
    <w:rsid w:val="00CD3472"/>
    <w:rsid w:val="00CD3478"/>
    <w:rsid w:val="00CD36D0"/>
    <w:rsid w:val="00CD3E31"/>
    <w:rsid w:val="00CD3FFB"/>
    <w:rsid w:val="00CD41D2"/>
    <w:rsid w:val="00CD4389"/>
    <w:rsid w:val="00CD48A1"/>
    <w:rsid w:val="00CD4A84"/>
    <w:rsid w:val="00CD4AAF"/>
    <w:rsid w:val="00CD4F04"/>
    <w:rsid w:val="00CD565F"/>
    <w:rsid w:val="00CD57DD"/>
    <w:rsid w:val="00CD5982"/>
    <w:rsid w:val="00CD5DA2"/>
    <w:rsid w:val="00CD6010"/>
    <w:rsid w:val="00CD67B0"/>
    <w:rsid w:val="00CD6814"/>
    <w:rsid w:val="00CD7695"/>
    <w:rsid w:val="00CD76C6"/>
    <w:rsid w:val="00CD790F"/>
    <w:rsid w:val="00CD7AD3"/>
    <w:rsid w:val="00CD7DDE"/>
    <w:rsid w:val="00CD7FA7"/>
    <w:rsid w:val="00CE0117"/>
    <w:rsid w:val="00CE0188"/>
    <w:rsid w:val="00CE03D9"/>
    <w:rsid w:val="00CE0A33"/>
    <w:rsid w:val="00CE0BB7"/>
    <w:rsid w:val="00CE1112"/>
    <w:rsid w:val="00CE1CF7"/>
    <w:rsid w:val="00CE1E9F"/>
    <w:rsid w:val="00CE1F90"/>
    <w:rsid w:val="00CE251D"/>
    <w:rsid w:val="00CE296B"/>
    <w:rsid w:val="00CE2E55"/>
    <w:rsid w:val="00CE300B"/>
    <w:rsid w:val="00CE30BD"/>
    <w:rsid w:val="00CE311D"/>
    <w:rsid w:val="00CE31B0"/>
    <w:rsid w:val="00CE33B1"/>
    <w:rsid w:val="00CE3438"/>
    <w:rsid w:val="00CE3643"/>
    <w:rsid w:val="00CE38F1"/>
    <w:rsid w:val="00CE3AB4"/>
    <w:rsid w:val="00CE4188"/>
    <w:rsid w:val="00CE42CD"/>
    <w:rsid w:val="00CE42DB"/>
    <w:rsid w:val="00CE48BF"/>
    <w:rsid w:val="00CE4995"/>
    <w:rsid w:val="00CE500C"/>
    <w:rsid w:val="00CE58A2"/>
    <w:rsid w:val="00CE5968"/>
    <w:rsid w:val="00CE5A02"/>
    <w:rsid w:val="00CE5AC7"/>
    <w:rsid w:val="00CE5AF3"/>
    <w:rsid w:val="00CE6145"/>
    <w:rsid w:val="00CE62C5"/>
    <w:rsid w:val="00CE6329"/>
    <w:rsid w:val="00CE6346"/>
    <w:rsid w:val="00CE668A"/>
    <w:rsid w:val="00CE66BC"/>
    <w:rsid w:val="00CE6908"/>
    <w:rsid w:val="00CE6A53"/>
    <w:rsid w:val="00CE6B9E"/>
    <w:rsid w:val="00CE6F9A"/>
    <w:rsid w:val="00CE70E6"/>
    <w:rsid w:val="00CE7409"/>
    <w:rsid w:val="00CE797B"/>
    <w:rsid w:val="00CE7AD9"/>
    <w:rsid w:val="00CF06D3"/>
    <w:rsid w:val="00CF072C"/>
    <w:rsid w:val="00CF08B2"/>
    <w:rsid w:val="00CF0C3F"/>
    <w:rsid w:val="00CF0C67"/>
    <w:rsid w:val="00CF0E0B"/>
    <w:rsid w:val="00CF113A"/>
    <w:rsid w:val="00CF157E"/>
    <w:rsid w:val="00CF16C1"/>
    <w:rsid w:val="00CF2133"/>
    <w:rsid w:val="00CF2395"/>
    <w:rsid w:val="00CF25D9"/>
    <w:rsid w:val="00CF2622"/>
    <w:rsid w:val="00CF29CF"/>
    <w:rsid w:val="00CF2DDC"/>
    <w:rsid w:val="00CF3127"/>
    <w:rsid w:val="00CF37D6"/>
    <w:rsid w:val="00CF395F"/>
    <w:rsid w:val="00CF3ABA"/>
    <w:rsid w:val="00CF3C08"/>
    <w:rsid w:val="00CF42C2"/>
    <w:rsid w:val="00CF474F"/>
    <w:rsid w:val="00CF4916"/>
    <w:rsid w:val="00CF4A19"/>
    <w:rsid w:val="00CF50CB"/>
    <w:rsid w:val="00CF53CE"/>
    <w:rsid w:val="00CF5622"/>
    <w:rsid w:val="00CF5DE7"/>
    <w:rsid w:val="00CF619A"/>
    <w:rsid w:val="00CF675A"/>
    <w:rsid w:val="00CF68C3"/>
    <w:rsid w:val="00CF69DC"/>
    <w:rsid w:val="00CF6BE7"/>
    <w:rsid w:val="00CF6C7D"/>
    <w:rsid w:val="00CF6ECF"/>
    <w:rsid w:val="00CF75D4"/>
    <w:rsid w:val="00CF790D"/>
    <w:rsid w:val="00CF7A4B"/>
    <w:rsid w:val="00CF7AD8"/>
    <w:rsid w:val="00CF7F04"/>
    <w:rsid w:val="00CF7F08"/>
    <w:rsid w:val="00D003BD"/>
    <w:rsid w:val="00D004E9"/>
    <w:rsid w:val="00D00992"/>
    <w:rsid w:val="00D00DA7"/>
    <w:rsid w:val="00D00F0A"/>
    <w:rsid w:val="00D0144A"/>
    <w:rsid w:val="00D0149C"/>
    <w:rsid w:val="00D0164A"/>
    <w:rsid w:val="00D01B8C"/>
    <w:rsid w:val="00D01D43"/>
    <w:rsid w:val="00D0213E"/>
    <w:rsid w:val="00D022AD"/>
    <w:rsid w:val="00D02917"/>
    <w:rsid w:val="00D02F68"/>
    <w:rsid w:val="00D031E6"/>
    <w:rsid w:val="00D0320C"/>
    <w:rsid w:val="00D0359F"/>
    <w:rsid w:val="00D035C5"/>
    <w:rsid w:val="00D03602"/>
    <w:rsid w:val="00D0375F"/>
    <w:rsid w:val="00D03785"/>
    <w:rsid w:val="00D038D7"/>
    <w:rsid w:val="00D03B14"/>
    <w:rsid w:val="00D03F38"/>
    <w:rsid w:val="00D03FBC"/>
    <w:rsid w:val="00D0408A"/>
    <w:rsid w:val="00D0459D"/>
    <w:rsid w:val="00D0479C"/>
    <w:rsid w:val="00D048C9"/>
    <w:rsid w:val="00D04D77"/>
    <w:rsid w:val="00D04F4F"/>
    <w:rsid w:val="00D04FF4"/>
    <w:rsid w:val="00D0514D"/>
    <w:rsid w:val="00D05791"/>
    <w:rsid w:val="00D05937"/>
    <w:rsid w:val="00D06357"/>
    <w:rsid w:val="00D069DA"/>
    <w:rsid w:val="00D07249"/>
    <w:rsid w:val="00D072D1"/>
    <w:rsid w:val="00D073EB"/>
    <w:rsid w:val="00D075EB"/>
    <w:rsid w:val="00D075F0"/>
    <w:rsid w:val="00D0769E"/>
    <w:rsid w:val="00D07C5C"/>
    <w:rsid w:val="00D07F86"/>
    <w:rsid w:val="00D07FEB"/>
    <w:rsid w:val="00D10005"/>
    <w:rsid w:val="00D10050"/>
    <w:rsid w:val="00D1054F"/>
    <w:rsid w:val="00D107F7"/>
    <w:rsid w:val="00D10876"/>
    <w:rsid w:val="00D10B3D"/>
    <w:rsid w:val="00D10E95"/>
    <w:rsid w:val="00D1116B"/>
    <w:rsid w:val="00D11E0E"/>
    <w:rsid w:val="00D11EC6"/>
    <w:rsid w:val="00D1258C"/>
    <w:rsid w:val="00D12A46"/>
    <w:rsid w:val="00D12B01"/>
    <w:rsid w:val="00D12E11"/>
    <w:rsid w:val="00D12ED1"/>
    <w:rsid w:val="00D134D3"/>
    <w:rsid w:val="00D1384B"/>
    <w:rsid w:val="00D13A5E"/>
    <w:rsid w:val="00D13B46"/>
    <w:rsid w:val="00D13F80"/>
    <w:rsid w:val="00D14345"/>
    <w:rsid w:val="00D145C9"/>
    <w:rsid w:val="00D148CD"/>
    <w:rsid w:val="00D14CB4"/>
    <w:rsid w:val="00D15263"/>
    <w:rsid w:val="00D15693"/>
    <w:rsid w:val="00D157EF"/>
    <w:rsid w:val="00D15A48"/>
    <w:rsid w:val="00D15FD7"/>
    <w:rsid w:val="00D16916"/>
    <w:rsid w:val="00D169F6"/>
    <w:rsid w:val="00D171AD"/>
    <w:rsid w:val="00D17DC0"/>
    <w:rsid w:val="00D17E6D"/>
    <w:rsid w:val="00D20116"/>
    <w:rsid w:val="00D20486"/>
    <w:rsid w:val="00D209F8"/>
    <w:rsid w:val="00D20ADA"/>
    <w:rsid w:val="00D20EDE"/>
    <w:rsid w:val="00D2112D"/>
    <w:rsid w:val="00D2153D"/>
    <w:rsid w:val="00D21648"/>
    <w:rsid w:val="00D2193B"/>
    <w:rsid w:val="00D22413"/>
    <w:rsid w:val="00D22906"/>
    <w:rsid w:val="00D22D30"/>
    <w:rsid w:val="00D23214"/>
    <w:rsid w:val="00D23336"/>
    <w:rsid w:val="00D23902"/>
    <w:rsid w:val="00D23CFA"/>
    <w:rsid w:val="00D23F1E"/>
    <w:rsid w:val="00D23FD0"/>
    <w:rsid w:val="00D24371"/>
    <w:rsid w:val="00D243A5"/>
    <w:rsid w:val="00D243A6"/>
    <w:rsid w:val="00D2466B"/>
    <w:rsid w:val="00D24CF0"/>
    <w:rsid w:val="00D24D17"/>
    <w:rsid w:val="00D24FCB"/>
    <w:rsid w:val="00D25139"/>
    <w:rsid w:val="00D254BA"/>
    <w:rsid w:val="00D25A8D"/>
    <w:rsid w:val="00D25B7D"/>
    <w:rsid w:val="00D25EBD"/>
    <w:rsid w:val="00D2613C"/>
    <w:rsid w:val="00D261B7"/>
    <w:rsid w:val="00D262D4"/>
    <w:rsid w:val="00D26862"/>
    <w:rsid w:val="00D269B7"/>
    <w:rsid w:val="00D27245"/>
    <w:rsid w:val="00D27A04"/>
    <w:rsid w:val="00D27F32"/>
    <w:rsid w:val="00D30325"/>
    <w:rsid w:val="00D305DF"/>
    <w:rsid w:val="00D3095A"/>
    <w:rsid w:val="00D30B64"/>
    <w:rsid w:val="00D30D6F"/>
    <w:rsid w:val="00D30EE1"/>
    <w:rsid w:val="00D3123E"/>
    <w:rsid w:val="00D317E6"/>
    <w:rsid w:val="00D3180C"/>
    <w:rsid w:val="00D31CE1"/>
    <w:rsid w:val="00D31D83"/>
    <w:rsid w:val="00D32D6E"/>
    <w:rsid w:val="00D32DB8"/>
    <w:rsid w:val="00D32E46"/>
    <w:rsid w:val="00D32E53"/>
    <w:rsid w:val="00D33049"/>
    <w:rsid w:val="00D331C2"/>
    <w:rsid w:val="00D3328C"/>
    <w:rsid w:val="00D333B2"/>
    <w:rsid w:val="00D338F3"/>
    <w:rsid w:val="00D339CB"/>
    <w:rsid w:val="00D33CBA"/>
    <w:rsid w:val="00D3413E"/>
    <w:rsid w:val="00D3490A"/>
    <w:rsid w:val="00D3515A"/>
    <w:rsid w:val="00D35B74"/>
    <w:rsid w:val="00D35BD0"/>
    <w:rsid w:val="00D36BEF"/>
    <w:rsid w:val="00D3700C"/>
    <w:rsid w:val="00D372A4"/>
    <w:rsid w:val="00D372E0"/>
    <w:rsid w:val="00D373A7"/>
    <w:rsid w:val="00D378E7"/>
    <w:rsid w:val="00D378EB"/>
    <w:rsid w:val="00D3793D"/>
    <w:rsid w:val="00D37BE7"/>
    <w:rsid w:val="00D37DF2"/>
    <w:rsid w:val="00D400D2"/>
    <w:rsid w:val="00D402BF"/>
    <w:rsid w:val="00D403FF"/>
    <w:rsid w:val="00D40586"/>
    <w:rsid w:val="00D409F9"/>
    <w:rsid w:val="00D40A2F"/>
    <w:rsid w:val="00D40E03"/>
    <w:rsid w:val="00D40E77"/>
    <w:rsid w:val="00D40F9D"/>
    <w:rsid w:val="00D4155B"/>
    <w:rsid w:val="00D41937"/>
    <w:rsid w:val="00D41986"/>
    <w:rsid w:val="00D42336"/>
    <w:rsid w:val="00D423A6"/>
    <w:rsid w:val="00D42BD1"/>
    <w:rsid w:val="00D42C90"/>
    <w:rsid w:val="00D42E14"/>
    <w:rsid w:val="00D43089"/>
    <w:rsid w:val="00D4319D"/>
    <w:rsid w:val="00D43336"/>
    <w:rsid w:val="00D438DD"/>
    <w:rsid w:val="00D43D50"/>
    <w:rsid w:val="00D4419A"/>
    <w:rsid w:val="00D441FB"/>
    <w:rsid w:val="00D4435C"/>
    <w:rsid w:val="00D443D2"/>
    <w:rsid w:val="00D445B0"/>
    <w:rsid w:val="00D4463E"/>
    <w:rsid w:val="00D44E9E"/>
    <w:rsid w:val="00D44EB1"/>
    <w:rsid w:val="00D4551B"/>
    <w:rsid w:val="00D45937"/>
    <w:rsid w:val="00D45DF2"/>
    <w:rsid w:val="00D46322"/>
    <w:rsid w:val="00D464F4"/>
    <w:rsid w:val="00D4692B"/>
    <w:rsid w:val="00D46A1E"/>
    <w:rsid w:val="00D46E40"/>
    <w:rsid w:val="00D47050"/>
    <w:rsid w:val="00D47175"/>
    <w:rsid w:val="00D47216"/>
    <w:rsid w:val="00D474F9"/>
    <w:rsid w:val="00D47B1B"/>
    <w:rsid w:val="00D47BE6"/>
    <w:rsid w:val="00D50330"/>
    <w:rsid w:val="00D5065C"/>
    <w:rsid w:val="00D50FBC"/>
    <w:rsid w:val="00D51338"/>
    <w:rsid w:val="00D51398"/>
    <w:rsid w:val="00D514AE"/>
    <w:rsid w:val="00D51C96"/>
    <w:rsid w:val="00D51E78"/>
    <w:rsid w:val="00D52282"/>
    <w:rsid w:val="00D5247E"/>
    <w:rsid w:val="00D5252D"/>
    <w:rsid w:val="00D5255C"/>
    <w:rsid w:val="00D52B69"/>
    <w:rsid w:val="00D5328C"/>
    <w:rsid w:val="00D53313"/>
    <w:rsid w:val="00D5388E"/>
    <w:rsid w:val="00D53B40"/>
    <w:rsid w:val="00D546FF"/>
    <w:rsid w:val="00D54824"/>
    <w:rsid w:val="00D5488F"/>
    <w:rsid w:val="00D54B59"/>
    <w:rsid w:val="00D54FCB"/>
    <w:rsid w:val="00D55240"/>
    <w:rsid w:val="00D559AB"/>
    <w:rsid w:val="00D559D9"/>
    <w:rsid w:val="00D55FE7"/>
    <w:rsid w:val="00D56456"/>
    <w:rsid w:val="00D56459"/>
    <w:rsid w:val="00D56C0B"/>
    <w:rsid w:val="00D56CEF"/>
    <w:rsid w:val="00D56D39"/>
    <w:rsid w:val="00D56E68"/>
    <w:rsid w:val="00D570AF"/>
    <w:rsid w:val="00D57565"/>
    <w:rsid w:val="00D57BF0"/>
    <w:rsid w:val="00D601F1"/>
    <w:rsid w:val="00D60336"/>
    <w:rsid w:val="00D60591"/>
    <w:rsid w:val="00D60942"/>
    <w:rsid w:val="00D60A8F"/>
    <w:rsid w:val="00D60AFE"/>
    <w:rsid w:val="00D60D9E"/>
    <w:rsid w:val="00D610AE"/>
    <w:rsid w:val="00D619EE"/>
    <w:rsid w:val="00D61DBB"/>
    <w:rsid w:val="00D61E06"/>
    <w:rsid w:val="00D6220B"/>
    <w:rsid w:val="00D622BA"/>
    <w:rsid w:val="00D622E7"/>
    <w:rsid w:val="00D624B2"/>
    <w:rsid w:val="00D626AD"/>
    <w:rsid w:val="00D6292C"/>
    <w:rsid w:val="00D629DB"/>
    <w:rsid w:val="00D62AE4"/>
    <w:rsid w:val="00D62AF3"/>
    <w:rsid w:val="00D62DF2"/>
    <w:rsid w:val="00D62E13"/>
    <w:rsid w:val="00D632AB"/>
    <w:rsid w:val="00D63F6F"/>
    <w:rsid w:val="00D63FF5"/>
    <w:rsid w:val="00D6417B"/>
    <w:rsid w:val="00D64F2C"/>
    <w:rsid w:val="00D65092"/>
    <w:rsid w:val="00D650F6"/>
    <w:rsid w:val="00D6511A"/>
    <w:rsid w:val="00D65211"/>
    <w:rsid w:val="00D653AC"/>
    <w:rsid w:val="00D6567D"/>
    <w:rsid w:val="00D65CBA"/>
    <w:rsid w:val="00D65F8C"/>
    <w:rsid w:val="00D6613E"/>
    <w:rsid w:val="00D662A7"/>
    <w:rsid w:val="00D66438"/>
    <w:rsid w:val="00D6672E"/>
    <w:rsid w:val="00D67294"/>
    <w:rsid w:val="00D6733C"/>
    <w:rsid w:val="00D67B3C"/>
    <w:rsid w:val="00D67F4B"/>
    <w:rsid w:val="00D7015B"/>
    <w:rsid w:val="00D702D9"/>
    <w:rsid w:val="00D706D0"/>
    <w:rsid w:val="00D70BB8"/>
    <w:rsid w:val="00D710A3"/>
    <w:rsid w:val="00D7149B"/>
    <w:rsid w:val="00D71796"/>
    <w:rsid w:val="00D719ED"/>
    <w:rsid w:val="00D71B89"/>
    <w:rsid w:val="00D72D70"/>
    <w:rsid w:val="00D72F65"/>
    <w:rsid w:val="00D73057"/>
    <w:rsid w:val="00D7329C"/>
    <w:rsid w:val="00D7349A"/>
    <w:rsid w:val="00D735FF"/>
    <w:rsid w:val="00D73D32"/>
    <w:rsid w:val="00D73EF3"/>
    <w:rsid w:val="00D7459F"/>
    <w:rsid w:val="00D7467A"/>
    <w:rsid w:val="00D74B6B"/>
    <w:rsid w:val="00D74EFB"/>
    <w:rsid w:val="00D75014"/>
    <w:rsid w:val="00D7538A"/>
    <w:rsid w:val="00D75482"/>
    <w:rsid w:val="00D75AFB"/>
    <w:rsid w:val="00D75C20"/>
    <w:rsid w:val="00D75D5C"/>
    <w:rsid w:val="00D75E79"/>
    <w:rsid w:val="00D75F1C"/>
    <w:rsid w:val="00D75FCA"/>
    <w:rsid w:val="00D7630D"/>
    <w:rsid w:val="00D765A1"/>
    <w:rsid w:val="00D76628"/>
    <w:rsid w:val="00D767DD"/>
    <w:rsid w:val="00D768B1"/>
    <w:rsid w:val="00D769F9"/>
    <w:rsid w:val="00D770DA"/>
    <w:rsid w:val="00D773FB"/>
    <w:rsid w:val="00D774C7"/>
    <w:rsid w:val="00D779D5"/>
    <w:rsid w:val="00D8056E"/>
    <w:rsid w:val="00D8069B"/>
    <w:rsid w:val="00D806FF"/>
    <w:rsid w:val="00D807B6"/>
    <w:rsid w:val="00D80804"/>
    <w:rsid w:val="00D808F6"/>
    <w:rsid w:val="00D8095F"/>
    <w:rsid w:val="00D80982"/>
    <w:rsid w:val="00D80A9E"/>
    <w:rsid w:val="00D80C04"/>
    <w:rsid w:val="00D80C67"/>
    <w:rsid w:val="00D80C79"/>
    <w:rsid w:val="00D80CA9"/>
    <w:rsid w:val="00D80E2E"/>
    <w:rsid w:val="00D813A7"/>
    <w:rsid w:val="00D8192D"/>
    <w:rsid w:val="00D81B7E"/>
    <w:rsid w:val="00D81C1C"/>
    <w:rsid w:val="00D81C20"/>
    <w:rsid w:val="00D81E12"/>
    <w:rsid w:val="00D821AD"/>
    <w:rsid w:val="00D823EE"/>
    <w:rsid w:val="00D82510"/>
    <w:rsid w:val="00D826BD"/>
    <w:rsid w:val="00D82941"/>
    <w:rsid w:val="00D83058"/>
    <w:rsid w:val="00D83101"/>
    <w:rsid w:val="00D836FF"/>
    <w:rsid w:val="00D83997"/>
    <w:rsid w:val="00D839FF"/>
    <w:rsid w:val="00D83D20"/>
    <w:rsid w:val="00D841A2"/>
    <w:rsid w:val="00D84316"/>
    <w:rsid w:val="00D84848"/>
    <w:rsid w:val="00D84850"/>
    <w:rsid w:val="00D848AA"/>
    <w:rsid w:val="00D84DB7"/>
    <w:rsid w:val="00D84F8A"/>
    <w:rsid w:val="00D85297"/>
    <w:rsid w:val="00D853AB"/>
    <w:rsid w:val="00D8561B"/>
    <w:rsid w:val="00D85711"/>
    <w:rsid w:val="00D860BC"/>
    <w:rsid w:val="00D8622E"/>
    <w:rsid w:val="00D8636E"/>
    <w:rsid w:val="00D864C6"/>
    <w:rsid w:val="00D8656A"/>
    <w:rsid w:val="00D86931"/>
    <w:rsid w:val="00D86C52"/>
    <w:rsid w:val="00D86EE9"/>
    <w:rsid w:val="00D87162"/>
    <w:rsid w:val="00D87230"/>
    <w:rsid w:val="00D87356"/>
    <w:rsid w:val="00D8751B"/>
    <w:rsid w:val="00D877D5"/>
    <w:rsid w:val="00D8796C"/>
    <w:rsid w:val="00D90236"/>
    <w:rsid w:val="00D90A1D"/>
    <w:rsid w:val="00D90A2B"/>
    <w:rsid w:val="00D90ED8"/>
    <w:rsid w:val="00D911A9"/>
    <w:rsid w:val="00D91937"/>
    <w:rsid w:val="00D91B5C"/>
    <w:rsid w:val="00D91D28"/>
    <w:rsid w:val="00D91E26"/>
    <w:rsid w:val="00D92411"/>
    <w:rsid w:val="00D926FD"/>
    <w:rsid w:val="00D92BF3"/>
    <w:rsid w:val="00D9327A"/>
    <w:rsid w:val="00D93287"/>
    <w:rsid w:val="00D933AF"/>
    <w:rsid w:val="00D939BB"/>
    <w:rsid w:val="00D93E47"/>
    <w:rsid w:val="00D940BA"/>
    <w:rsid w:val="00D94888"/>
    <w:rsid w:val="00D94BD8"/>
    <w:rsid w:val="00D94C1C"/>
    <w:rsid w:val="00D94D04"/>
    <w:rsid w:val="00D94D35"/>
    <w:rsid w:val="00D95818"/>
    <w:rsid w:val="00D960B1"/>
    <w:rsid w:val="00D96269"/>
    <w:rsid w:val="00D96900"/>
    <w:rsid w:val="00D96AAE"/>
    <w:rsid w:val="00D96B66"/>
    <w:rsid w:val="00D96EAE"/>
    <w:rsid w:val="00D97072"/>
    <w:rsid w:val="00D971B3"/>
    <w:rsid w:val="00D97736"/>
    <w:rsid w:val="00D9787B"/>
    <w:rsid w:val="00D97E6F"/>
    <w:rsid w:val="00DA12AB"/>
    <w:rsid w:val="00DA147D"/>
    <w:rsid w:val="00DA16B7"/>
    <w:rsid w:val="00DA16D4"/>
    <w:rsid w:val="00DA174D"/>
    <w:rsid w:val="00DA1952"/>
    <w:rsid w:val="00DA1ABD"/>
    <w:rsid w:val="00DA1D02"/>
    <w:rsid w:val="00DA216B"/>
    <w:rsid w:val="00DA25C9"/>
    <w:rsid w:val="00DA3146"/>
    <w:rsid w:val="00DA331A"/>
    <w:rsid w:val="00DA3B12"/>
    <w:rsid w:val="00DA3D7A"/>
    <w:rsid w:val="00DA3EEB"/>
    <w:rsid w:val="00DA413E"/>
    <w:rsid w:val="00DA4406"/>
    <w:rsid w:val="00DA4484"/>
    <w:rsid w:val="00DA473B"/>
    <w:rsid w:val="00DA4C70"/>
    <w:rsid w:val="00DA4F6E"/>
    <w:rsid w:val="00DA50C6"/>
    <w:rsid w:val="00DA53F9"/>
    <w:rsid w:val="00DA5C0E"/>
    <w:rsid w:val="00DA605C"/>
    <w:rsid w:val="00DA6122"/>
    <w:rsid w:val="00DA6354"/>
    <w:rsid w:val="00DA64B1"/>
    <w:rsid w:val="00DA6B49"/>
    <w:rsid w:val="00DA6BA2"/>
    <w:rsid w:val="00DA6E6C"/>
    <w:rsid w:val="00DA7285"/>
    <w:rsid w:val="00DA7385"/>
    <w:rsid w:val="00DA75E0"/>
    <w:rsid w:val="00DA7B45"/>
    <w:rsid w:val="00DB00B9"/>
    <w:rsid w:val="00DB0158"/>
    <w:rsid w:val="00DB04F2"/>
    <w:rsid w:val="00DB09B4"/>
    <w:rsid w:val="00DB0FFC"/>
    <w:rsid w:val="00DB11D2"/>
    <w:rsid w:val="00DB1255"/>
    <w:rsid w:val="00DB162B"/>
    <w:rsid w:val="00DB19A0"/>
    <w:rsid w:val="00DB1A3D"/>
    <w:rsid w:val="00DB2108"/>
    <w:rsid w:val="00DB22B2"/>
    <w:rsid w:val="00DB2328"/>
    <w:rsid w:val="00DB24D4"/>
    <w:rsid w:val="00DB25A4"/>
    <w:rsid w:val="00DB275E"/>
    <w:rsid w:val="00DB27D7"/>
    <w:rsid w:val="00DB28CF"/>
    <w:rsid w:val="00DB2BB7"/>
    <w:rsid w:val="00DB2CAD"/>
    <w:rsid w:val="00DB2E99"/>
    <w:rsid w:val="00DB2E9A"/>
    <w:rsid w:val="00DB2F96"/>
    <w:rsid w:val="00DB3195"/>
    <w:rsid w:val="00DB34BF"/>
    <w:rsid w:val="00DB371C"/>
    <w:rsid w:val="00DB39B0"/>
    <w:rsid w:val="00DB3C4F"/>
    <w:rsid w:val="00DB3DA3"/>
    <w:rsid w:val="00DB40E4"/>
    <w:rsid w:val="00DB4E03"/>
    <w:rsid w:val="00DB538C"/>
    <w:rsid w:val="00DB571C"/>
    <w:rsid w:val="00DB67A5"/>
    <w:rsid w:val="00DB6A59"/>
    <w:rsid w:val="00DB6BF8"/>
    <w:rsid w:val="00DB72C0"/>
    <w:rsid w:val="00DB7955"/>
    <w:rsid w:val="00DB7ABD"/>
    <w:rsid w:val="00DB7B24"/>
    <w:rsid w:val="00DB7F06"/>
    <w:rsid w:val="00DB7F70"/>
    <w:rsid w:val="00DC01FB"/>
    <w:rsid w:val="00DC15DF"/>
    <w:rsid w:val="00DC16A8"/>
    <w:rsid w:val="00DC172A"/>
    <w:rsid w:val="00DC1D42"/>
    <w:rsid w:val="00DC23A0"/>
    <w:rsid w:val="00DC24EA"/>
    <w:rsid w:val="00DC25F4"/>
    <w:rsid w:val="00DC372C"/>
    <w:rsid w:val="00DC394F"/>
    <w:rsid w:val="00DC39BC"/>
    <w:rsid w:val="00DC4248"/>
    <w:rsid w:val="00DC46B0"/>
    <w:rsid w:val="00DC47DC"/>
    <w:rsid w:val="00DC4852"/>
    <w:rsid w:val="00DC48C9"/>
    <w:rsid w:val="00DC4CC5"/>
    <w:rsid w:val="00DC53D3"/>
    <w:rsid w:val="00DC5AA5"/>
    <w:rsid w:val="00DC6232"/>
    <w:rsid w:val="00DC65FE"/>
    <w:rsid w:val="00DC666E"/>
    <w:rsid w:val="00DC66C7"/>
    <w:rsid w:val="00DC69C9"/>
    <w:rsid w:val="00DC6A7E"/>
    <w:rsid w:val="00DC6A82"/>
    <w:rsid w:val="00DC6AE9"/>
    <w:rsid w:val="00DC6BD9"/>
    <w:rsid w:val="00DC6C7B"/>
    <w:rsid w:val="00DC7219"/>
    <w:rsid w:val="00DC72C2"/>
    <w:rsid w:val="00DC7A41"/>
    <w:rsid w:val="00DC7AA8"/>
    <w:rsid w:val="00DD0333"/>
    <w:rsid w:val="00DD03D0"/>
    <w:rsid w:val="00DD086A"/>
    <w:rsid w:val="00DD0B50"/>
    <w:rsid w:val="00DD0ED2"/>
    <w:rsid w:val="00DD1009"/>
    <w:rsid w:val="00DD1212"/>
    <w:rsid w:val="00DD13E0"/>
    <w:rsid w:val="00DD1496"/>
    <w:rsid w:val="00DD1A9B"/>
    <w:rsid w:val="00DD1E3F"/>
    <w:rsid w:val="00DD1ED5"/>
    <w:rsid w:val="00DD20C6"/>
    <w:rsid w:val="00DD26B1"/>
    <w:rsid w:val="00DD2A63"/>
    <w:rsid w:val="00DD2D0B"/>
    <w:rsid w:val="00DD3441"/>
    <w:rsid w:val="00DD3735"/>
    <w:rsid w:val="00DD37C3"/>
    <w:rsid w:val="00DD3840"/>
    <w:rsid w:val="00DD39AC"/>
    <w:rsid w:val="00DD39D9"/>
    <w:rsid w:val="00DD3DDC"/>
    <w:rsid w:val="00DD3EB7"/>
    <w:rsid w:val="00DD4451"/>
    <w:rsid w:val="00DD4D30"/>
    <w:rsid w:val="00DD4DE0"/>
    <w:rsid w:val="00DD57F7"/>
    <w:rsid w:val="00DD588E"/>
    <w:rsid w:val="00DD5918"/>
    <w:rsid w:val="00DD5BEF"/>
    <w:rsid w:val="00DD5E22"/>
    <w:rsid w:val="00DD652C"/>
    <w:rsid w:val="00DD66FE"/>
    <w:rsid w:val="00DD67CD"/>
    <w:rsid w:val="00DD6C38"/>
    <w:rsid w:val="00DD6EA9"/>
    <w:rsid w:val="00DD70B9"/>
    <w:rsid w:val="00DD712D"/>
    <w:rsid w:val="00DD745F"/>
    <w:rsid w:val="00DE065A"/>
    <w:rsid w:val="00DE071F"/>
    <w:rsid w:val="00DE090B"/>
    <w:rsid w:val="00DE1125"/>
    <w:rsid w:val="00DE11B0"/>
    <w:rsid w:val="00DE11C1"/>
    <w:rsid w:val="00DE14E1"/>
    <w:rsid w:val="00DE15EA"/>
    <w:rsid w:val="00DE1789"/>
    <w:rsid w:val="00DE17C3"/>
    <w:rsid w:val="00DE1C34"/>
    <w:rsid w:val="00DE2A3B"/>
    <w:rsid w:val="00DE305D"/>
    <w:rsid w:val="00DE30D6"/>
    <w:rsid w:val="00DE30FE"/>
    <w:rsid w:val="00DE3B46"/>
    <w:rsid w:val="00DE3DD2"/>
    <w:rsid w:val="00DE3F54"/>
    <w:rsid w:val="00DE414A"/>
    <w:rsid w:val="00DE41C6"/>
    <w:rsid w:val="00DE452C"/>
    <w:rsid w:val="00DE4563"/>
    <w:rsid w:val="00DE4A1A"/>
    <w:rsid w:val="00DE4BDB"/>
    <w:rsid w:val="00DE581F"/>
    <w:rsid w:val="00DE5E87"/>
    <w:rsid w:val="00DE6750"/>
    <w:rsid w:val="00DE6B88"/>
    <w:rsid w:val="00DE6BEC"/>
    <w:rsid w:val="00DF0282"/>
    <w:rsid w:val="00DF0535"/>
    <w:rsid w:val="00DF05C0"/>
    <w:rsid w:val="00DF05F6"/>
    <w:rsid w:val="00DF0745"/>
    <w:rsid w:val="00DF08A1"/>
    <w:rsid w:val="00DF08ED"/>
    <w:rsid w:val="00DF0935"/>
    <w:rsid w:val="00DF09B8"/>
    <w:rsid w:val="00DF0C5A"/>
    <w:rsid w:val="00DF0C6F"/>
    <w:rsid w:val="00DF0E4A"/>
    <w:rsid w:val="00DF1126"/>
    <w:rsid w:val="00DF1173"/>
    <w:rsid w:val="00DF141B"/>
    <w:rsid w:val="00DF154C"/>
    <w:rsid w:val="00DF1869"/>
    <w:rsid w:val="00DF1BFD"/>
    <w:rsid w:val="00DF1E6E"/>
    <w:rsid w:val="00DF1FBE"/>
    <w:rsid w:val="00DF211C"/>
    <w:rsid w:val="00DF21A9"/>
    <w:rsid w:val="00DF231F"/>
    <w:rsid w:val="00DF2372"/>
    <w:rsid w:val="00DF26C3"/>
    <w:rsid w:val="00DF2810"/>
    <w:rsid w:val="00DF30DF"/>
    <w:rsid w:val="00DF31B9"/>
    <w:rsid w:val="00DF3607"/>
    <w:rsid w:val="00DF395E"/>
    <w:rsid w:val="00DF3A1D"/>
    <w:rsid w:val="00DF3A63"/>
    <w:rsid w:val="00DF3D05"/>
    <w:rsid w:val="00DF3FF4"/>
    <w:rsid w:val="00DF42DB"/>
    <w:rsid w:val="00DF43D3"/>
    <w:rsid w:val="00DF4602"/>
    <w:rsid w:val="00DF4AC1"/>
    <w:rsid w:val="00DF51B1"/>
    <w:rsid w:val="00DF5DF2"/>
    <w:rsid w:val="00DF60A4"/>
    <w:rsid w:val="00DF6589"/>
    <w:rsid w:val="00DF6998"/>
    <w:rsid w:val="00DF69A1"/>
    <w:rsid w:val="00DF6C7B"/>
    <w:rsid w:val="00DF6CA4"/>
    <w:rsid w:val="00DF7089"/>
    <w:rsid w:val="00DF71DC"/>
    <w:rsid w:val="00DF753B"/>
    <w:rsid w:val="00DF755F"/>
    <w:rsid w:val="00DF783B"/>
    <w:rsid w:val="00DF7CF1"/>
    <w:rsid w:val="00E0016B"/>
    <w:rsid w:val="00E004BA"/>
    <w:rsid w:val="00E005C7"/>
    <w:rsid w:val="00E00885"/>
    <w:rsid w:val="00E00F4D"/>
    <w:rsid w:val="00E0138C"/>
    <w:rsid w:val="00E015E8"/>
    <w:rsid w:val="00E0179E"/>
    <w:rsid w:val="00E0193B"/>
    <w:rsid w:val="00E02144"/>
    <w:rsid w:val="00E0220F"/>
    <w:rsid w:val="00E02462"/>
    <w:rsid w:val="00E02989"/>
    <w:rsid w:val="00E02FBE"/>
    <w:rsid w:val="00E0348F"/>
    <w:rsid w:val="00E036F6"/>
    <w:rsid w:val="00E0470A"/>
    <w:rsid w:val="00E04727"/>
    <w:rsid w:val="00E04BDD"/>
    <w:rsid w:val="00E04C29"/>
    <w:rsid w:val="00E04DA1"/>
    <w:rsid w:val="00E04DAE"/>
    <w:rsid w:val="00E04E94"/>
    <w:rsid w:val="00E0500F"/>
    <w:rsid w:val="00E051DF"/>
    <w:rsid w:val="00E0520A"/>
    <w:rsid w:val="00E05218"/>
    <w:rsid w:val="00E0560F"/>
    <w:rsid w:val="00E0579B"/>
    <w:rsid w:val="00E057AF"/>
    <w:rsid w:val="00E058CA"/>
    <w:rsid w:val="00E05964"/>
    <w:rsid w:val="00E063CF"/>
    <w:rsid w:val="00E06558"/>
    <w:rsid w:val="00E06BDF"/>
    <w:rsid w:val="00E073F9"/>
    <w:rsid w:val="00E074C2"/>
    <w:rsid w:val="00E07505"/>
    <w:rsid w:val="00E0752D"/>
    <w:rsid w:val="00E07578"/>
    <w:rsid w:val="00E075CD"/>
    <w:rsid w:val="00E07968"/>
    <w:rsid w:val="00E07EEA"/>
    <w:rsid w:val="00E10868"/>
    <w:rsid w:val="00E10A34"/>
    <w:rsid w:val="00E10A70"/>
    <w:rsid w:val="00E10CDA"/>
    <w:rsid w:val="00E10E24"/>
    <w:rsid w:val="00E10E51"/>
    <w:rsid w:val="00E111D4"/>
    <w:rsid w:val="00E11329"/>
    <w:rsid w:val="00E11D20"/>
    <w:rsid w:val="00E11F0E"/>
    <w:rsid w:val="00E12431"/>
    <w:rsid w:val="00E126A9"/>
    <w:rsid w:val="00E12A2F"/>
    <w:rsid w:val="00E1309E"/>
    <w:rsid w:val="00E13130"/>
    <w:rsid w:val="00E134AF"/>
    <w:rsid w:val="00E13636"/>
    <w:rsid w:val="00E13783"/>
    <w:rsid w:val="00E138B1"/>
    <w:rsid w:val="00E13C81"/>
    <w:rsid w:val="00E13CBC"/>
    <w:rsid w:val="00E13E19"/>
    <w:rsid w:val="00E13E35"/>
    <w:rsid w:val="00E14135"/>
    <w:rsid w:val="00E14154"/>
    <w:rsid w:val="00E146B1"/>
    <w:rsid w:val="00E14B6B"/>
    <w:rsid w:val="00E14B9E"/>
    <w:rsid w:val="00E14C41"/>
    <w:rsid w:val="00E14E1C"/>
    <w:rsid w:val="00E15063"/>
    <w:rsid w:val="00E1542F"/>
    <w:rsid w:val="00E1570F"/>
    <w:rsid w:val="00E157C9"/>
    <w:rsid w:val="00E15E9E"/>
    <w:rsid w:val="00E15EB3"/>
    <w:rsid w:val="00E161FA"/>
    <w:rsid w:val="00E162C5"/>
    <w:rsid w:val="00E16577"/>
    <w:rsid w:val="00E1657E"/>
    <w:rsid w:val="00E16B57"/>
    <w:rsid w:val="00E16C66"/>
    <w:rsid w:val="00E17160"/>
    <w:rsid w:val="00E1733C"/>
    <w:rsid w:val="00E174BF"/>
    <w:rsid w:val="00E179AA"/>
    <w:rsid w:val="00E179F4"/>
    <w:rsid w:val="00E17F34"/>
    <w:rsid w:val="00E17FED"/>
    <w:rsid w:val="00E2011A"/>
    <w:rsid w:val="00E20334"/>
    <w:rsid w:val="00E20341"/>
    <w:rsid w:val="00E20626"/>
    <w:rsid w:val="00E206F3"/>
    <w:rsid w:val="00E20AFF"/>
    <w:rsid w:val="00E21441"/>
    <w:rsid w:val="00E21E5E"/>
    <w:rsid w:val="00E2230C"/>
    <w:rsid w:val="00E2264A"/>
    <w:rsid w:val="00E226E8"/>
    <w:rsid w:val="00E22854"/>
    <w:rsid w:val="00E2293C"/>
    <w:rsid w:val="00E22A51"/>
    <w:rsid w:val="00E22C03"/>
    <w:rsid w:val="00E22C06"/>
    <w:rsid w:val="00E22C19"/>
    <w:rsid w:val="00E2311F"/>
    <w:rsid w:val="00E23223"/>
    <w:rsid w:val="00E232B9"/>
    <w:rsid w:val="00E23598"/>
    <w:rsid w:val="00E237CD"/>
    <w:rsid w:val="00E238E5"/>
    <w:rsid w:val="00E23C91"/>
    <w:rsid w:val="00E23E4C"/>
    <w:rsid w:val="00E2464E"/>
    <w:rsid w:val="00E247EA"/>
    <w:rsid w:val="00E24B35"/>
    <w:rsid w:val="00E24DB9"/>
    <w:rsid w:val="00E24FD4"/>
    <w:rsid w:val="00E250D8"/>
    <w:rsid w:val="00E2530F"/>
    <w:rsid w:val="00E25E5F"/>
    <w:rsid w:val="00E25F9E"/>
    <w:rsid w:val="00E26039"/>
    <w:rsid w:val="00E267A7"/>
    <w:rsid w:val="00E269C7"/>
    <w:rsid w:val="00E26CAE"/>
    <w:rsid w:val="00E26CFD"/>
    <w:rsid w:val="00E26D45"/>
    <w:rsid w:val="00E272D5"/>
    <w:rsid w:val="00E274E8"/>
    <w:rsid w:val="00E27688"/>
    <w:rsid w:val="00E27740"/>
    <w:rsid w:val="00E27D10"/>
    <w:rsid w:val="00E27EDF"/>
    <w:rsid w:val="00E30005"/>
    <w:rsid w:val="00E30247"/>
    <w:rsid w:val="00E30673"/>
    <w:rsid w:val="00E3076F"/>
    <w:rsid w:val="00E30A35"/>
    <w:rsid w:val="00E30D4A"/>
    <w:rsid w:val="00E3156E"/>
    <w:rsid w:val="00E31595"/>
    <w:rsid w:val="00E3197F"/>
    <w:rsid w:val="00E31CD1"/>
    <w:rsid w:val="00E31F51"/>
    <w:rsid w:val="00E3208D"/>
    <w:rsid w:val="00E321F0"/>
    <w:rsid w:val="00E32274"/>
    <w:rsid w:val="00E3280E"/>
    <w:rsid w:val="00E329FE"/>
    <w:rsid w:val="00E32A20"/>
    <w:rsid w:val="00E3353F"/>
    <w:rsid w:val="00E3380B"/>
    <w:rsid w:val="00E33884"/>
    <w:rsid w:val="00E33BD1"/>
    <w:rsid w:val="00E33DF4"/>
    <w:rsid w:val="00E33E5D"/>
    <w:rsid w:val="00E34027"/>
    <w:rsid w:val="00E3436F"/>
    <w:rsid w:val="00E3484A"/>
    <w:rsid w:val="00E34ADB"/>
    <w:rsid w:val="00E34E1E"/>
    <w:rsid w:val="00E3524C"/>
    <w:rsid w:val="00E35828"/>
    <w:rsid w:val="00E35A0A"/>
    <w:rsid w:val="00E366A2"/>
    <w:rsid w:val="00E36743"/>
    <w:rsid w:val="00E3689D"/>
    <w:rsid w:val="00E36ADC"/>
    <w:rsid w:val="00E374E2"/>
    <w:rsid w:val="00E3799A"/>
    <w:rsid w:val="00E40269"/>
    <w:rsid w:val="00E4027C"/>
    <w:rsid w:val="00E40387"/>
    <w:rsid w:val="00E40A73"/>
    <w:rsid w:val="00E40D62"/>
    <w:rsid w:val="00E410B8"/>
    <w:rsid w:val="00E4135A"/>
    <w:rsid w:val="00E413F1"/>
    <w:rsid w:val="00E418CA"/>
    <w:rsid w:val="00E41BCC"/>
    <w:rsid w:val="00E41D51"/>
    <w:rsid w:val="00E42106"/>
    <w:rsid w:val="00E421EF"/>
    <w:rsid w:val="00E42330"/>
    <w:rsid w:val="00E426F7"/>
    <w:rsid w:val="00E42A47"/>
    <w:rsid w:val="00E42B2D"/>
    <w:rsid w:val="00E42FD8"/>
    <w:rsid w:val="00E43587"/>
    <w:rsid w:val="00E4377B"/>
    <w:rsid w:val="00E43980"/>
    <w:rsid w:val="00E43A80"/>
    <w:rsid w:val="00E44164"/>
    <w:rsid w:val="00E4484A"/>
    <w:rsid w:val="00E448EA"/>
    <w:rsid w:val="00E44BD5"/>
    <w:rsid w:val="00E44D06"/>
    <w:rsid w:val="00E45030"/>
    <w:rsid w:val="00E450B1"/>
    <w:rsid w:val="00E45200"/>
    <w:rsid w:val="00E45268"/>
    <w:rsid w:val="00E45402"/>
    <w:rsid w:val="00E45456"/>
    <w:rsid w:val="00E457E1"/>
    <w:rsid w:val="00E459D3"/>
    <w:rsid w:val="00E45A8A"/>
    <w:rsid w:val="00E462F5"/>
    <w:rsid w:val="00E4638D"/>
    <w:rsid w:val="00E46B3A"/>
    <w:rsid w:val="00E46B4E"/>
    <w:rsid w:val="00E47215"/>
    <w:rsid w:val="00E47228"/>
    <w:rsid w:val="00E4728B"/>
    <w:rsid w:val="00E473C3"/>
    <w:rsid w:val="00E478B9"/>
    <w:rsid w:val="00E4790A"/>
    <w:rsid w:val="00E47978"/>
    <w:rsid w:val="00E47DB1"/>
    <w:rsid w:val="00E47DCE"/>
    <w:rsid w:val="00E47FBC"/>
    <w:rsid w:val="00E50054"/>
    <w:rsid w:val="00E50193"/>
    <w:rsid w:val="00E50B19"/>
    <w:rsid w:val="00E50F2D"/>
    <w:rsid w:val="00E514B3"/>
    <w:rsid w:val="00E51C2E"/>
    <w:rsid w:val="00E51D78"/>
    <w:rsid w:val="00E521DF"/>
    <w:rsid w:val="00E523F8"/>
    <w:rsid w:val="00E52E1C"/>
    <w:rsid w:val="00E52F86"/>
    <w:rsid w:val="00E533C4"/>
    <w:rsid w:val="00E53671"/>
    <w:rsid w:val="00E53947"/>
    <w:rsid w:val="00E539F0"/>
    <w:rsid w:val="00E53B2E"/>
    <w:rsid w:val="00E5419C"/>
    <w:rsid w:val="00E548FE"/>
    <w:rsid w:val="00E5492B"/>
    <w:rsid w:val="00E54B0E"/>
    <w:rsid w:val="00E54FB1"/>
    <w:rsid w:val="00E55179"/>
    <w:rsid w:val="00E55315"/>
    <w:rsid w:val="00E55EAD"/>
    <w:rsid w:val="00E55EDB"/>
    <w:rsid w:val="00E56191"/>
    <w:rsid w:val="00E56253"/>
    <w:rsid w:val="00E56556"/>
    <w:rsid w:val="00E571FD"/>
    <w:rsid w:val="00E573AA"/>
    <w:rsid w:val="00E57743"/>
    <w:rsid w:val="00E57AD1"/>
    <w:rsid w:val="00E57BBA"/>
    <w:rsid w:val="00E57FF2"/>
    <w:rsid w:val="00E60645"/>
    <w:rsid w:val="00E606E1"/>
    <w:rsid w:val="00E60AD8"/>
    <w:rsid w:val="00E60B2F"/>
    <w:rsid w:val="00E60BE8"/>
    <w:rsid w:val="00E60EC3"/>
    <w:rsid w:val="00E61399"/>
    <w:rsid w:val="00E617D8"/>
    <w:rsid w:val="00E618A7"/>
    <w:rsid w:val="00E61B2B"/>
    <w:rsid w:val="00E61D79"/>
    <w:rsid w:val="00E61ECD"/>
    <w:rsid w:val="00E62069"/>
    <w:rsid w:val="00E62240"/>
    <w:rsid w:val="00E62391"/>
    <w:rsid w:val="00E626F2"/>
    <w:rsid w:val="00E6288E"/>
    <w:rsid w:val="00E62C04"/>
    <w:rsid w:val="00E63050"/>
    <w:rsid w:val="00E634D6"/>
    <w:rsid w:val="00E6394E"/>
    <w:rsid w:val="00E63A62"/>
    <w:rsid w:val="00E63B87"/>
    <w:rsid w:val="00E64238"/>
    <w:rsid w:val="00E647AD"/>
    <w:rsid w:val="00E64932"/>
    <w:rsid w:val="00E64BA3"/>
    <w:rsid w:val="00E651B3"/>
    <w:rsid w:val="00E653A5"/>
    <w:rsid w:val="00E653D1"/>
    <w:rsid w:val="00E6544D"/>
    <w:rsid w:val="00E6550A"/>
    <w:rsid w:val="00E65891"/>
    <w:rsid w:val="00E65D9C"/>
    <w:rsid w:val="00E660E5"/>
    <w:rsid w:val="00E66822"/>
    <w:rsid w:val="00E66870"/>
    <w:rsid w:val="00E66B43"/>
    <w:rsid w:val="00E66D33"/>
    <w:rsid w:val="00E671B0"/>
    <w:rsid w:val="00E674FB"/>
    <w:rsid w:val="00E676BE"/>
    <w:rsid w:val="00E67836"/>
    <w:rsid w:val="00E67CB0"/>
    <w:rsid w:val="00E67D23"/>
    <w:rsid w:val="00E67EE7"/>
    <w:rsid w:val="00E700D3"/>
    <w:rsid w:val="00E70176"/>
    <w:rsid w:val="00E7044F"/>
    <w:rsid w:val="00E7048A"/>
    <w:rsid w:val="00E707CB"/>
    <w:rsid w:val="00E708EC"/>
    <w:rsid w:val="00E70E18"/>
    <w:rsid w:val="00E70FF6"/>
    <w:rsid w:val="00E7118B"/>
    <w:rsid w:val="00E71200"/>
    <w:rsid w:val="00E714A8"/>
    <w:rsid w:val="00E714E3"/>
    <w:rsid w:val="00E71915"/>
    <w:rsid w:val="00E71AF5"/>
    <w:rsid w:val="00E72264"/>
    <w:rsid w:val="00E722B8"/>
    <w:rsid w:val="00E73442"/>
    <w:rsid w:val="00E737E9"/>
    <w:rsid w:val="00E73838"/>
    <w:rsid w:val="00E73A8D"/>
    <w:rsid w:val="00E73B2D"/>
    <w:rsid w:val="00E73CE6"/>
    <w:rsid w:val="00E73D13"/>
    <w:rsid w:val="00E740F0"/>
    <w:rsid w:val="00E74341"/>
    <w:rsid w:val="00E745C2"/>
    <w:rsid w:val="00E746D4"/>
    <w:rsid w:val="00E74AD2"/>
    <w:rsid w:val="00E74BDB"/>
    <w:rsid w:val="00E74F51"/>
    <w:rsid w:val="00E75959"/>
    <w:rsid w:val="00E759C2"/>
    <w:rsid w:val="00E76808"/>
    <w:rsid w:val="00E768E4"/>
    <w:rsid w:val="00E76923"/>
    <w:rsid w:val="00E76E74"/>
    <w:rsid w:val="00E77A3A"/>
    <w:rsid w:val="00E77E0C"/>
    <w:rsid w:val="00E77EDA"/>
    <w:rsid w:val="00E77EE9"/>
    <w:rsid w:val="00E800B2"/>
    <w:rsid w:val="00E801A6"/>
    <w:rsid w:val="00E815F7"/>
    <w:rsid w:val="00E8176B"/>
    <w:rsid w:val="00E817B3"/>
    <w:rsid w:val="00E81F33"/>
    <w:rsid w:val="00E821E8"/>
    <w:rsid w:val="00E82315"/>
    <w:rsid w:val="00E8242C"/>
    <w:rsid w:val="00E827D6"/>
    <w:rsid w:val="00E829D1"/>
    <w:rsid w:val="00E82CC1"/>
    <w:rsid w:val="00E82FAC"/>
    <w:rsid w:val="00E83087"/>
    <w:rsid w:val="00E831C7"/>
    <w:rsid w:val="00E8324E"/>
    <w:rsid w:val="00E83374"/>
    <w:rsid w:val="00E83383"/>
    <w:rsid w:val="00E8386B"/>
    <w:rsid w:val="00E844D3"/>
    <w:rsid w:val="00E845F6"/>
    <w:rsid w:val="00E84D52"/>
    <w:rsid w:val="00E856E3"/>
    <w:rsid w:val="00E857C1"/>
    <w:rsid w:val="00E85B1C"/>
    <w:rsid w:val="00E86140"/>
    <w:rsid w:val="00E861AE"/>
    <w:rsid w:val="00E86914"/>
    <w:rsid w:val="00E86C3E"/>
    <w:rsid w:val="00E86DC2"/>
    <w:rsid w:val="00E8702A"/>
    <w:rsid w:val="00E8753D"/>
    <w:rsid w:val="00E87B57"/>
    <w:rsid w:val="00E87E42"/>
    <w:rsid w:val="00E900E8"/>
    <w:rsid w:val="00E910BB"/>
    <w:rsid w:val="00E911F5"/>
    <w:rsid w:val="00E914D2"/>
    <w:rsid w:val="00E91A55"/>
    <w:rsid w:val="00E91AD5"/>
    <w:rsid w:val="00E91CEE"/>
    <w:rsid w:val="00E91D20"/>
    <w:rsid w:val="00E91EE7"/>
    <w:rsid w:val="00E9217D"/>
    <w:rsid w:val="00E9230A"/>
    <w:rsid w:val="00E92431"/>
    <w:rsid w:val="00E92617"/>
    <w:rsid w:val="00E928F5"/>
    <w:rsid w:val="00E92A4C"/>
    <w:rsid w:val="00E92B7B"/>
    <w:rsid w:val="00E9313A"/>
    <w:rsid w:val="00E93407"/>
    <w:rsid w:val="00E93549"/>
    <w:rsid w:val="00E93702"/>
    <w:rsid w:val="00E93F8F"/>
    <w:rsid w:val="00E94462"/>
    <w:rsid w:val="00E947B4"/>
    <w:rsid w:val="00E94A10"/>
    <w:rsid w:val="00E94BC6"/>
    <w:rsid w:val="00E9539C"/>
    <w:rsid w:val="00E95831"/>
    <w:rsid w:val="00E9588C"/>
    <w:rsid w:val="00E958C9"/>
    <w:rsid w:val="00E95F85"/>
    <w:rsid w:val="00E96006"/>
    <w:rsid w:val="00E9613E"/>
    <w:rsid w:val="00E961CE"/>
    <w:rsid w:val="00E96239"/>
    <w:rsid w:val="00E96797"/>
    <w:rsid w:val="00E96D75"/>
    <w:rsid w:val="00E970AB"/>
    <w:rsid w:val="00E971ED"/>
    <w:rsid w:val="00E97360"/>
    <w:rsid w:val="00E973A6"/>
    <w:rsid w:val="00E975EC"/>
    <w:rsid w:val="00E97626"/>
    <w:rsid w:val="00E9771B"/>
    <w:rsid w:val="00E97C26"/>
    <w:rsid w:val="00E97EFA"/>
    <w:rsid w:val="00E97F3D"/>
    <w:rsid w:val="00E97FA1"/>
    <w:rsid w:val="00EA0AED"/>
    <w:rsid w:val="00EA0BC0"/>
    <w:rsid w:val="00EA0C07"/>
    <w:rsid w:val="00EA102B"/>
    <w:rsid w:val="00EA12FA"/>
    <w:rsid w:val="00EA134C"/>
    <w:rsid w:val="00EA13AF"/>
    <w:rsid w:val="00EA2573"/>
    <w:rsid w:val="00EA2938"/>
    <w:rsid w:val="00EA2B04"/>
    <w:rsid w:val="00EA2F57"/>
    <w:rsid w:val="00EA3650"/>
    <w:rsid w:val="00EA3816"/>
    <w:rsid w:val="00EA41D3"/>
    <w:rsid w:val="00EA4A15"/>
    <w:rsid w:val="00EA4E1B"/>
    <w:rsid w:val="00EA5601"/>
    <w:rsid w:val="00EA59AF"/>
    <w:rsid w:val="00EA5A4F"/>
    <w:rsid w:val="00EA5A84"/>
    <w:rsid w:val="00EA5B96"/>
    <w:rsid w:val="00EA5FBD"/>
    <w:rsid w:val="00EA62A7"/>
    <w:rsid w:val="00EA6302"/>
    <w:rsid w:val="00EA63EA"/>
    <w:rsid w:val="00EA670A"/>
    <w:rsid w:val="00EA6ACD"/>
    <w:rsid w:val="00EA7A99"/>
    <w:rsid w:val="00EA7DDA"/>
    <w:rsid w:val="00EB001E"/>
    <w:rsid w:val="00EB01CD"/>
    <w:rsid w:val="00EB064A"/>
    <w:rsid w:val="00EB0786"/>
    <w:rsid w:val="00EB0918"/>
    <w:rsid w:val="00EB0F49"/>
    <w:rsid w:val="00EB162C"/>
    <w:rsid w:val="00EB19A2"/>
    <w:rsid w:val="00EB1B5A"/>
    <w:rsid w:val="00EB1E3D"/>
    <w:rsid w:val="00EB2122"/>
    <w:rsid w:val="00EB2221"/>
    <w:rsid w:val="00EB26C1"/>
    <w:rsid w:val="00EB39AA"/>
    <w:rsid w:val="00EB3A4B"/>
    <w:rsid w:val="00EB3AF2"/>
    <w:rsid w:val="00EB3E3C"/>
    <w:rsid w:val="00EB465B"/>
    <w:rsid w:val="00EB4AA3"/>
    <w:rsid w:val="00EB527A"/>
    <w:rsid w:val="00EB55D8"/>
    <w:rsid w:val="00EB5879"/>
    <w:rsid w:val="00EB5AA9"/>
    <w:rsid w:val="00EB5BF9"/>
    <w:rsid w:val="00EB5DC0"/>
    <w:rsid w:val="00EB5F05"/>
    <w:rsid w:val="00EB6911"/>
    <w:rsid w:val="00EB6E98"/>
    <w:rsid w:val="00EB760E"/>
    <w:rsid w:val="00EB76C6"/>
    <w:rsid w:val="00EB76F6"/>
    <w:rsid w:val="00EB779D"/>
    <w:rsid w:val="00EC0201"/>
    <w:rsid w:val="00EC0B07"/>
    <w:rsid w:val="00EC0D18"/>
    <w:rsid w:val="00EC11B3"/>
    <w:rsid w:val="00EC13B3"/>
    <w:rsid w:val="00EC1507"/>
    <w:rsid w:val="00EC167F"/>
    <w:rsid w:val="00EC16C5"/>
    <w:rsid w:val="00EC18F8"/>
    <w:rsid w:val="00EC1C8F"/>
    <w:rsid w:val="00EC1C9A"/>
    <w:rsid w:val="00EC1CB9"/>
    <w:rsid w:val="00EC2010"/>
    <w:rsid w:val="00EC230C"/>
    <w:rsid w:val="00EC23EC"/>
    <w:rsid w:val="00EC2472"/>
    <w:rsid w:val="00EC24E3"/>
    <w:rsid w:val="00EC2540"/>
    <w:rsid w:val="00EC26E3"/>
    <w:rsid w:val="00EC2840"/>
    <w:rsid w:val="00EC2B85"/>
    <w:rsid w:val="00EC2D88"/>
    <w:rsid w:val="00EC30E4"/>
    <w:rsid w:val="00EC32D8"/>
    <w:rsid w:val="00EC39CC"/>
    <w:rsid w:val="00EC3AA7"/>
    <w:rsid w:val="00EC3C56"/>
    <w:rsid w:val="00EC4217"/>
    <w:rsid w:val="00EC44BB"/>
    <w:rsid w:val="00EC44DF"/>
    <w:rsid w:val="00EC474F"/>
    <w:rsid w:val="00EC4787"/>
    <w:rsid w:val="00EC4F22"/>
    <w:rsid w:val="00EC50E0"/>
    <w:rsid w:val="00EC5180"/>
    <w:rsid w:val="00EC52B6"/>
    <w:rsid w:val="00EC5D22"/>
    <w:rsid w:val="00EC6300"/>
    <w:rsid w:val="00EC665F"/>
    <w:rsid w:val="00EC67F8"/>
    <w:rsid w:val="00EC768B"/>
    <w:rsid w:val="00EC7B2F"/>
    <w:rsid w:val="00ED00A2"/>
    <w:rsid w:val="00ED05CF"/>
    <w:rsid w:val="00ED0CFF"/>
    <w:rsid w:val="00ED0D0F"/>
    <w:rsid w:val="00ED0EBA"/>
    <w:rsid w:val="00ED13E0"/>
    <w:rsid w:val="00ED16AE"/>
    <w:rsid w:val="00ED18C2"/>
    <w:rsid w:val="00ED18CA"/>
    <w:rsid w:val="00ED19F6"/>
    <w:rsid w:val="00ED1ADA"/>
    <w:rsid w:val="00ED1E58"/>
    <w:rsid w:val="00ED1E67"/>
    <w:rsid w:val="00ED2D97"/>
    <w:rsid w:val="00ED378C"/>
    <w:rsid w:val="00ED39F7"/>
    <w:rsid w:val="00ED3EA1"/>
    <w:rsid w:val="00ED41B0"/>
    <w:rsid w:val="00ED443F"/>
    <w:rsid w:val="00ED4CAC"/>
    <w:rsid w:val="00ED52C6"/>
    <w:rsid w:val="00ED5353"/>
    <w:rsid w:val="00ED561E"/>
    <w:rsid w:val="00ED56C3"/>
    <w:rsid w:val="00ED5F3C"/>
    <w:rsid w:val="00ED62C1"/>
    <w:rsid w:val="00ED6646"/>
    <w:rsid w:val="00ED6A88"/>
    <w:rsid w:val="00ED6AF9"/>
    <w:rsid w:val="00ED6B7B"/>
    <w:rsid w:val="00ED6EA0"/>
    <w:rsid w:val="00ED713D"/>
    <w:rsid w:val="00ED7184"/>
    <w:rsid w:val="00ED7610"/>
    <w:rsid w:val="00ED77B6"/>
    <w:rsid w:val="00ED79BE"/>
    <w:rsid w:val="00EE0076"/>
    <w:rsid w:val="00EE01F3"/>
    <w:rsid w:val="00EE035B"/>
    <w:rsid w:val="00EE0610"/>
    <w:rsid w:val="00EE0779"/>
    <w:rsid w:val="00EE0A9D"/>
    <w:rsid w:val="00EE0C4B"/>
    <w:rsid w:val="00EE0EE3"/>
    <w:rsid w:val="00EE10C0"/>
    <w:rsid w:val="00EE17CA"/>
    <w:rsid w:val="00EE1913"/>
    <w:rsid w:val="00EE1BE1"/>
    <w:rsid w:val="00EE1D53"/>
    <w:rsid w:val="00EE1E6A"/>
    <w:rsid w:val="00EE1EE6"/>
    <w:rsid w:val="00EE1F5E"/>
    <w:rsid w:val="00EE2274"/>
    <w:rsid w:val="00EE22A0"/>
    <w:rsid w:val="00EE28F9"/>
    <w:rsid w:val="00EE2B67"/>
    <w:rsid w:val="00EE30E5"/>
    <w:rsid w:val="00EE35BF"/>
    <w:rsid w:val="00EE395C"/>
    <w:rsid w:val="00EE3B2D"/>
    <w:rsid w:val="00EE4212"/>
    <w:rsid w:val="00EE429A"/>
    <w:rsid w:val="00EE43B0"/>
    <w:rsid w:val="00EE4410"/>
    <w:rsid w:val="00EE468D"/>
    <w:rsid w:val="00EE4B17"/>
    <w:rsid w:val="00EE4BDB"/>
    <w:rsid w:val="00EE4DA0"/>
    <w:rsid w:val="00EE5B41"/>
    <w:rsid w:val="00EE5B65"/>
    <w:rsid w:val="00EE5BBC"/>
    <w:rsid w:val="00EE5D26"/>
    <w:rsid w:val="00EE5E2D"/>
    <w:rsid w:val="00EE61D3"/>
    <w:rsid w:val="00EE624C"/>
    <w:rsid w:val="00EE673A"/>
    <w:rsid w:val="00EE67F7"/>
    <w:rsid w:val="00EE6D75"/>
    <w:rsid w:val="00EE6FE2"/>
    <w:rsid w:val="00EE7158"/>
    <w:rsid w:val="00EE7244"/>
    <w:rsid w:val="00EE72A8"/>
    <w:rsid w:val="00EE7475"/>
    <w:rsid w:val="00EE7648"/>
    <w:rsid w:val="00EE78E6"/>
    <w:rsid w:val="00EE7D26"/>
    <w:rsid w:val="00EE7F86"/>
    <w:rsid w:val="00EF0328"/>
    <w:rsid w:val="00EF0444"/>
    <w:rsid w:val="00EF05EE"/>
    <w:rsid w:val="00EF115F"/>
    <w:rsid w:val="00EF11A4"/>
    <w:rsid w:val="00EF1958"/>
    <w:rsid w:val="00EF19A7"/>
    <w:rsid w:val="00EF1F8D"/>
    <w:rsid w:val="00EF2641"/>
    <w:rsid w:val="00EF2662"/>
    <w:rsid w:val="00EF30FD"/>
    <w:rsid w:val="00EF32D0"/>
    <w:rsid w:val="00EF4072"/>
    <w:rsid w:val="00EF44CE"/>
    <w:rsid w:val="00EF4ABD"/>
    <w:rsid w:val="00EF4EB4"/>
    <w:rsid w:val="00EF50CB"/>
    <w:rsid w:val="00EF51BE"/>
    <w:rsid w:val="00EF52B3"/>
    <w:rsid w:val="00EF574B"/>
    <w:rsid w:val="00EF57C0"/>
    <w:rsid w:val="00EF58CE"/>
    <w:rsid w:val="00EF5C83"/>
    <w:rsid w:val="00EF5DBC"/>
    <w:rsid w:val="00EF5FAD"/>
    <w:rsid w:val="00EF607C"/>
    <w:rsid w:val="00EF621B"/>
    <w:rsid w:val="00EF6685"/>
    <w:rsid w:val="00EF66FB"/>
    <w:rsid w:val="00EF6967"/>
    <w:rsid w:val="00EF6D26"/>
    <w:rsid w:val="00EF73CF"/>
    <w:rsid w:val="00EF7543"/>
    <w:rsid w:val="00EF7AFE"/>
    <w:rsid w:val="00F0052A"/>
    <w:rsid w:val="00F00559"/>
    <w:rsid w:val="00F0065F"/>
    <w:rsid w:val="00F00ADF"/>
    <w:rsid w:val="00F00EA2"/>
    <w:rsid w:val="00F01110"/>
    <w:rsid w:val="00F01417"/>
    <w:rsid w:val="00F01850"/>
    <w:rsid w:val="00F025BD"/>
    <w:rsid w:val="00F02D33"/>
    <w:rsid w:val="00F02D9B"/>
    <w:rsid w:val="00F02E80"/>
    <w:rsid w:val="00F03C02"/>
    <w:rsid w:val="00F03C2C"/>
    <w:rsid w:val="00F03E36"/>
    <w:rsid w:val="00F0414A"/>
    <w:rsid w:val="00F0424C"/>
    <w:rsid w:val="00F047F0"/>
    <w:rsid w:val="00F04BCB"/>
    <w:rsid w:val="00F04D35"/>
    <w:rsid w:val="00F052A9"/>
    <w:rsid w:val="00F0580F"/>
    <w:rsid w:val="00F058A0"/>
    <w:rsid w:val="00F05AB4"/>
    <w:rsid w:val="00F05BB3"/>
    <w:rsid w:val="00F05E30"/>
    <w:rsid w:val="00F06171"/>
    <w:rsid w:val="00F061F7"/>
    <w:rsid w:val="00F06BA1"/>
    <w:rsid w:val="00F06D06"/>
    <w:rsid w:val="00F06FBF"/>
    <w:rsid w:val="00F06FDA"/>
    <w:rsid w:val="00F0744C"/>
    <w:rsid w:val="00F074E0"/>
    <w:rsid w:val="00F07898"/>
    <w:rsid w:val="00F07ADF"/>
    <w:rsid w:val="00F104AA"/>
    <w:rsid w:val="00F10821"/>
    <w:rsid w:val="00F109DD"/>
    <w:rsid w:val="00F10CAB"/>
    <w:rsid w:val="00F111E2"/>
    <w:rsid w:val="00F1131D"/>
    <w:rsid w:val="00F11383"/>
    <w:rsid w:val="00F11422"/>
    <w:rsid w:val="00F11572"/>
    <w:rsid w:val="00F12128"/>
    <w:rsid w:val="00F1226A"/>
    <w:rsid w:val="00F12372"/>
    <w:rsid w:val="00F12C91"/>
    <w:rsid w:val="00F13085"/>
    <w:rsid w:val="00F130A7"/>
    <w:rsid w:val="00F132CF"/>
    <w:rsid w:val="00F13749"/>
    <w:rsid w:val="00F14845"/>
    <w:rsid w:val="00F149E2"/>
    <w:rsid w:val="00F153DB"/>
    <w:rsid w:val="00F15901"/>
    <w:rsid w:val="00F15AA3"/>
    <w:rsid w:val="00F15CB7"/>
    <w:rsid w:val="00F15E3F"/>
    <w:rsid w:val="00F16000"/>
    <w:rsid w:val="00F16148"/>
    <w:rsid w:val="00F165D6"/>
    <w:rsid w:val="00F16CCD"/>
    <w:rsid w:val="00F17937"/>
    <w:rsid w:val="00F17ABD"/>
    <w:rsid w:val="00F17F18"/>
    <w:rsid w:val="00F2061B"/>
    <w:rsid w:val="00F20685"/>
    <w:rsid w:val="00F2073B"/>
    <w:rsid w:val="00F20BC5"/>
    <w:rsid w:val="00F2125A"/>
    <w:rsid w:val="00F212D2"/>
    <w:rsid w:val="00F212EF"/>
    <w:rsid w:val="00F213ED"/>
    <w:rsid w:val="00F2165F"/>
    <w:rsid w:val="00F21A98"/>
    <w:rsid w:val="00F21FA5"/>
    <w:rsid w:val="00F22226"/>
    <w:rsid w:val="00F22393"/>
    <w:rsid w:val="00F2241B"/>
    <w:rsid w:val="00F22667"/>
    <w:rsid w:val="00F22718"/>
    <w:rsid w:val="00F22AF3"/>
    <w:rsid w:val="00F22E9C"/>
    <w:rsid w:val="00F23188"/>
    <w:rsid w:val="00F231C7"/>
    <w:rsid w:val="00F23379"/>
    <w:rsid w:val="00F234E6"/>
    <w:rsid w:val="00F23704"/>
    <w:rsid w:val="00F237B5"/>
    <w:rsid w:val="00F23C57"/>
    <w:rsid w:val="00F23E7F"/>
    <w:rsid w:val="00F23EC7"/>
    <w:rsid w:val="00F245B8"/>
    <w:rsid w:val="00F249B6"/>
    <w:rsid w:val="00F24C20"/>
    <w:rsid w:val="00F25069"/>
    <w:rsid w:val="00F2560E"/>
    <w:rsid w:val="00F25BFF"/>
    <w:rsid w:val="00F25D9A"/>
    <w:rsid w:val="00F26122"/>
    <w:rsid w:val="00F26187"/>
    <w:rsid w:val="00F2639F"/>
    <w:rsid w:val="00F26C17"/>
    <w:rsid w:val="00F26D20"/>
    <w:rsid w:val="00F26FBF"/>
    <w:rsid w:val="00F27398"/>
    <w:rsid w:val="00F27554"/>
    <w:rsid w:val="00F2767C"/>
    <w:rsid w:val="00F27743"/>
    <w:rsid w:val="00F27973"/>
    <w:rsid w:val="00F27A9C"/>
    <w:rsid w:val="00F27E13"/>
    <w:rsid w:val="00F30021"/>
    <w:rsid w:val="00F3023C"/>
    <w:rsid w:val="00F305BD"/>
    <w:rsid w:val="00F306DD"/>
    <w:rsid w:val="00F30F00"/>
    <w:rsid w:val="00F31223"/>
    <w:rsid w:val="00F32327"/>
    <w:rsid w:val="00F32381"/>
    <w:rsid w:val="00F3252D"/>
    <w:rsid w:val="00F32731"/>
    <w:rsid w:val="00F32AD8"/>
    <w:rsid w:val="00F32C5B"/>
    <w:rsid w:val="00F330F9"/>
    <w:rsid w:val="00F33196"/>
    <w:rsid w:val="00F332EC"/>
    <w:rsid w:val="00F3336A"/>
    <w:rsid w:val="00F334EF"/>
    <w:rsid w:val="00F334F0"/>
    <w:rsid w:val="00F337B7"/>
    <w:rsid w:val="00F3399E"/>
    <w:rsid w:val="00F339DC"/>
    <w:rsid w:val="00F34F89"/>
    <w:rsid w:val="00F3563D"/>
    <w:rsid w:val="00F356BB"/>
    <w:rsid w:val="00F3573F"/>
    <w:rsid w:val="00F35FC4"/>
    <w:rsid w:val="00F36214"/>
    <w:rsid w:val="00F36B2B"/>
    <w:rsid w:val="00F37698"/>
    <w:rsid w:val="00F378C9"/>
    <w:rsid w:val="00F40420"/>
    <w:rsid w:val="00F4048E"/>
    <w:rsid w:val="00F40925"/>
    <w:rsid w:val="00F40B24"/>
    <w:rsid w:val="00F40C54"/>
    <w:rsid w:val="00F4180D"/>
    <w:rsid w:val="00F41979"/>
    <w:rsid w:val="00F41B27"/>
    <w:rsid w:val="00F41CDB"/>
    <w:rsid w:val="00F42325"/>
    <w:rsid w:val="00F42528"/>
    <w:rsid w:val="00F42743"/>
    <w:rsid w:val="00F42CF9"/>
    <w:rsid w:val="00F42F99"/>
    <w:rsid w:val="00F4394C"/>
    <w:rsid w:val="00F43A7A"/>
    <w:rsid w:val="00F43B79"/>
    <w:rsid w:val="00F440FA"/>
    <w:rsid w:val="00F44178"/>
    <w:rsid w:val="00F445F5"/>
    <w:rsid w:val="00F44876"/>
    <w:rsid w:val="00F44A3B"/>
    <w:rsid w:val="00F44D65"/>
    <w:rsid w:val="00F4562B"/>
    <w:rsid w:val="00F45A26"/>
    <w:rsid w:val="00F45B82"/>
    <w:rsid w:val="00F45D78"/>
    <w:rsid w:val="00F45E8C"/>
    <w:rsid w:val="00F45EC7"/>
    <w:rsid w:val="00F4692C"/>
    <w:rsid w:val="00F46ABC"/>
    <w:rsid w:val="00F46D6A"/>
    <w:rsid w:val="00F4726F"/>
    <w:rsid w:val="00F47C56"/>
    <w:rsid w:val="00F5033E"/>
    <w:rsid w:val="00F508D5"/>
    <w:rsid w:val="00F50C05"/>
    <w:rsid w:val="00F50E7F"/>
    <w:rsid w:val="00F51183"/>
    <w:rsid w:val="00F514C2"/>
    <w:rsid w:val="00F514C9"/>
    <w:rsid w:val="00F519F9"/>
    <w:rsid w:val="00F51C54"/>
    <w:rsid w:val="00F51CF1"/>
    <w:rsid w:val="00F522B9"/>
    <w:rsid w:val="00F52319"/>
    <w:rsid w:val="00F524D5"/>
    <w:rsid w:val="00F529B7"/>
    <w:rsid w:val="00F52A6E"/>
    <w:rsid w:val="00F53361"/>
    <w:rsid w:val="00F5339A"/>
    <w:rsid w:val="00F53AB0"/>
    <w:rsid w:val="00F53B4C"/>
    <w:rsid w:val="00F53EAE"/>
    <w:rsid w:val="00F53F5B"/>
    <w:rsid w:val="00F54015"/>
    <w:rsid w:val="00F540D8"/>
    <w:rsid w:val="00F5470F"/>
    <w:rsid w:val="00F54E75"/>
    <w:rsid w:val="00F5554F"/>
    <w:rsid w:val="00F55972"/>
    <w:rsid w:val="00F55C96"/>
    <w:rsid w:val="00F55D36"/>
    <w:rsid w:val="00F55E78"/>
    <w:rsid w:val="00F55E8F"/>
    <w:rsid w:val="00F56B1B"/>
    <w:rsid w:val="00F57127"/>
    <w:rsid w:val="00F57356"/>
    <w:rsid w:val="00F57791"/>
    <w:rsid w:val="00F57969"/>
    <w:rsid w:val="00F57B2D"/>
    <w:rsid w:val="00F60303"/>
    <w:rsid w:val="00F60500"/>
    <w:rsid w:val="00F606F3"/>
    <w:rsid w:val="00F606FD"/>
    <w:rsid w:val="00F607E0"/>
    <w:rsid w:val="00F608D0"/>
    <w:rsid w:val="00F60DDF"/>
    <w:rsid w:val="00F6127D"/>
    <w:rsid w:val="00F615A7"/>
    <w:rsid w:val="00F61CCE"/>
    <w:rsid w:val="00F61E75"/>
    <w:rsid w:val="00F61F7A"/>
    <w:rsid w:val="00F62AFC"/>
    <w:rsid w:val="00F631E2"/>
    <w:rsid w:val="00F63232"/>
    <w:rsid w:val="00F632AF"/>
    <w:rsid w:val="00F63AF6"/>
    <w:rsid w:val="00F647C5"/>
    <w:rsid w:val="00F64862"/>
    <w:rsid w:val="00F64FD4"/>
    <w:rsid w:val="00F65231"/>
    <w:rsid w:val="00F656BF"/>
    <w:rsid w:val="00F656FF"/>
    <w:rsid w:val="00F65824"/>
    <w:rsid w:val="00F659BC"/>
    <w:rsid w:val="00F66334"/>
    <w:rsid w:val="00F667A0"/>
    <w:rsid w:val="00F66852"/>
    <w:rsid w:val="00F6723D"/>
    <w:rsid w:val="00F67381"/>
    <w:rsid w:val="00F674C1"/>
    <w:rsid w:val="00F675E8"/>
    <w:rsid w:val="00F67C7C"/>
    <w:rsid w:val="00F7016A"/>
    <w:rsid w:val="00F70605"/>
    <w:rsid w:val="00F70B50"/>
    <w:rsid w:val="00F710E7"/>
    <w:rsid w:val="00F710FD"/>
    <w:rsid w:val="00F71137"/>
    <w:rsid w:val="00F712A2"/>
    <w:rsid w:val="00F7133F"/>
    <w:rsid w:val="00F71418"/>
    <w:rsid w:val="00F71612"/>
    <w:rsid w:val="00F71A7F"/>
    <w:rsid w:val="00F71CFD"/>
    <w:rsid w:val="00F72727"/>
    <w:rsid w:val="00F72762"/>
    <w:rsid w:val="00F72B2E"/>
    <w:rsid w:val="00F72BA7"/>
    <w:rsid w:val="00F72DB9"/>
    <w:rsid w:val="00F72E74"/>
    <w:rsid w:val="00F73614"/>
    <w:rsid w:val="00F73664"/>
    <w:rsid w:val="00F737F3"/>
    <w:rsid w:val="00F73EFA"/>
    <w:rsid w:val="00F73F0F"/>
    <w:rsid w:val="00F74223"/>
    <w:rsid w:val="00F74453"/>
    <w:rsid w:val="00F748C4"/>
    <w:rsid w:val="00F74C4A"/>
    <w:rsid w:val="00F7581A"/>
    <w:rsid w:val="00F75AD7"/>
    <w:rsid w:val="00F75D9E"/>
    <w:rsid w:val="00F760E6"/>
    <w:rsid w:val="00F7620C"/>
    <w:rsid w:val="00F766E4"/>
    <w:rsid w:val="00F76920"/>
    <w:rsid w:val="00F76963"/>
    <w:rsid w:val="00F76B9F"/>
    <w:rsid w:val="00F77287"/>
    <w:rsid w:val="00F773B1"/>
    <w:rsid w:val="00F77618"/>
    <w:rsid w:val="00F77BCD"/>
    <w:rsid w:val="00F803F7"/>
    <w:rsid w:val="00F80667"/>
    <w:rsid w:val="00F807DF"/>
    <w:rsid w:val="00F807E3"/>
    <w:rsid w:val="00F80916"/>
    <w:rsid w:val="00F80B1D"/>
    <w:rsid w:val="00F8119B"/>
    <w:rsid w:val="00F811F6"/>
    <w:rsid w:val="00F812B8"/>
    <w:rsid w:val="00F81395"/>
    <w:rsid w:val="00F813C4"/>
    <w:rsid w:val="00F819C7"/>
    <w:rsid w:val="00F81B71"/>
    <w:rsid w:val="00F81DC4"/>
    <w:rsid w:val="00F81DF7"/>
    <w:rsid w:val="00F822A6"/>
    <w:rsid w:val="00F82990"/>
    <w:rsid w:val="00F82CC2"/>
    <w:rsid w:val="00F82D0B"/>
    <w:rsid w:val="00F83213"/>
    <w:rsid w:val="00F832C6"/>
    <w:rsid w:val="00F833F6"/>
    <w:rsid w:val="00F83420"/>
    <w:rsid w:val="00F83521"/>
    <w:rsid w:val="00F838CA"/>
    <w:rsid w:val="00F83A1B"/>
    <w:rsid w:val="00F8419C"/>
    <w:rsid w:val="00F843E0"/>
    <w:rsid w:val="00F84864"/>
    <w:rsid w:val="00F84E9A"/>
    <w:rsid w:val="00F85322"/>
    <w:rsid w:val="00F855C6"/>
    <w:rsid w:val="00F858A5"/>
    <w:rsid w:val="00F85A00"/>
    <w:rsid w:val="00F85A52"/>
    <w:rsid w:val="00F86038"/>
    <w:rsid w:val="00F864C7"/>
    <w:rsid w:val="00F86C4D"/>
    <w:rsid w:val="00F86E05"/>
    <w:rsid w:val="00F873FE"/>
    <w:rsid w:val="00F875E7"/>
    <w:rsid w:val="00F8771D"/>
    <w:rsid w:val="00F87A6F"/>
    <w:rsid w:val="00F87C17"/>
    <w:rsid w:val="00F87DD9"/>
    <w:rsid w:val="00F90ACB"/>
    <w:rsid w:val="00F90C1C"/>
    <w:rsid w:val="00F90C97"/>
    <w:rsid w:val="00F90E87"/>
    <w:rsid w:val="00F9103F"/>
    <w:rsid w:val="00F91214"/>
    <w:rsid w:val="00F9163E"/>
    <w:rsid w:val="00F919BE"/>
    <w:rsid w:val="00F92264"/>
    <w:rsid w:val="00F9252F"/>
    <w:rsid w:val="00F92C4E"/>
    <w:rsid w:val="00F92C54"/>
    <w:rsid w:val="00F93192"/>
    <w:rsid w:val="00F932B6"/>
    <w:rsid w:val="00F933F2"/>
    <w:rsid w:val="00F937CB"/>
    <w:rsid w:val="00F93997"/>
    <w:rsid w:val="00F93A3D"/>
    <w:rsid w:val="00F93B28"/>
    <w:rsid w:val="00F93C50"/>
    <w:rsid w:val="00F940C4"/>
    <w:rsid w:val="00F94118"/>
    <w:rsid w:val="00F94190"/>
    <w:rsid w:val="00F94210"/>
    <w:rsid w:val="00F94646"/>
    <w:rsid w:val="00F94848"/>
    <w:rsid w:val="00F94873"/>
    <w:rsid w:val="00F94926"/>
    <w:rsid w:val="00F94A34"/>
    <w:rsid w:val="00F94D59"/>
    <w:rsid w:val="00F94DF9"/>
    <w:rsid w:val="00F95511"/>
    <w:rsid w:val="00F961E3"/>
    <w:rsid w:val="00F962F6"/>
    <w:rsid w:val="00F96BEB"/>
    <w:rsid w:val="00F97125"/>
    <w:rsid w:val="00F9713C"/>
    <w:rsid w:val="00F973B2"/>
    <w:rsid w:val="00F97817"/>
    <w:rsid w:val="00F97A2D"/>
    <w:rsid w:val="00F97AA2"/>
    <w:rsid w:val="00F97AE9"/>
    <w:rsid w:val="00F97B29"/>
    <w:rsid w:val="00F97CE9"/>
    <w:rsid w:val="00FA0456"/>
    <w:rsid w:val="00FA10DE"/>
    <w:rsid w:val="00FA1401"/>
    <w:rsid w:val="00FA15F9"/>
    <w:rsid w:val="00FA1733"/>
    <w:rsid w:val="00FA1DEA"/>
    <w:rsid w:val="00FA20A6"/>
    <w:rsid w:val="00FA20AA"/>
    <w:rsid w:val="00FA22C4"/>
    <w:rsid w:val="00FA232A"/>
    <w:rsid w:val="00FA2338"/>
    <w:rsid w:val="00FA2880"/>
    <w:rsid w:val="00FA29BF"/>
    <w:rsid w:val="00FA2A74"/>
    <w:rsid w:val="00FA2BF4"/>
    <w:rsid w:val="00FA2E53"/>
    <w:rsid w:val="00FA3138"/>
    <w:rsid w:val="00FA3549"/>
    <w:rsid w:val="00FA35CC"/>
    <w:rsid w:val="00FA3A14"/>
    <w:rsid w:val="00FA3CE3"/>
    <w:rsid w:val="00FA3FA9"/>
    <w:rsid w:val="00FA43C1"/>
    <w:rsid w:val="00FA443D"/>
    <w:rsid w:val="00FA4A40"/>
    <w:rsid w:val="00FA4D4E"/>
    <w:rsid w:val="00FA4D74"/>
    <w:rsid w:val="00FA4D91"/>
    <w:rsid w:val="00FA4EC6"/>
    <w:rsid w:val="00FA4F30"/>
    <w:rsid w:val="00FA5052"/>
    <w:rsid w:val="00FA5701"/>
    <w:rsid w:val="00FA5A03"/>
    <w:rsid w:val="00FA5BDF"/>
    <w:rsid w:val="00FA64C9"/>
    <w:rsid w:val="00FA6637"/>
    <w:rsid w:val="00FA667A"/>
    <w:rsid w:val="00FA67A6"/>
    <w:rsid w:val="00FA69C3"/>
    <w:rsid w:val="00FA69CC"/>
    <w:rsid w:val="00FA6B81"/>
    <w:rsid w:val="00FA6DCE"/>
    <w:rsid w:val="00FA710F"/>
    <w:rsid w:val="00FA781E"/>
    <w:rsid w:val="00FA7A1E"/>
    <w:rsid w:val="00FA7AE4"/>
    <w:rsid w:val="00FA7BD4"/>
    <w:rsid w:val="00FB01FA"/>
    <w:rsid w:val="00FB039F"/>
    <w:rsid w:val="00FB06CA"/>
    <w:rsid w:val="00FB08D0"/>
    <w:rsid w:val="00FB0C83"/>
    <w:rsid w:val="00FB124A"/>
    <w:rsid w:val="00FB12FE"/>
    <w:rsid w:val="00FB163A"/>
    <w:rsid w:val="00FB243D"/>
    <w:rsid w:val="00FB28E2"/>
    <w:rsid w:val="00FB2952"/>
    <w:rsid w:val="00FB2ABD"/>
    <w:rsid w:val="00FB32E5"/>
    <w:rsid w:val="00FB339A"/>
    <w:rsid w:val="00FB35C7"/>
    <w:rsid w:val="00FB3625"/>
    <w:rsid w:val="00FB3712"/>
    <w:rsid w:val="00FB3746"/>
    <w:rsid w:val="00FB39CB"/>
    <w:rsid w:val="00FB435D"/>
    <w:rsid w:val="00FB4E84"/>
    <w:rsid w:val="00FB4E8B"/>
    <w:rsid w:val="00FB5535"/>
    <w:rsid w:val="00FB5590"/>
    <w:rsid w:val="00FB5927"/>
    <w:rsid w:val="00FB6099"/>
    <w:rsid w:val="00FB6208"/>
    <w:rsid w:val="00FB74FD"/>
    <w:rsid w:val="00FB75FE"/>
    <w:rsid w:val="00FB76D5"/>
    <w:rsid w:val="00FB7955"/>
    <w:rsid w:val="00FB7ACF"/>
    <w:rsid w:val="00FB7B54"/>
    <w:rsid w:val="00FB7C4D"/>
    <w:rsid w:val="00FB7FEF"/>
    <w:rsid w:val="00FC05C2"/>
    <w:rsid w:val="00FC0894"/>
    <w:rsid w:val="00FC098C"/>
    <w:rsid w:val="00FC0C14"/>
    <w:rsid w:val="00FC0D37"/>
    <w:rsid w:val="00FC0EF2"/>
    <w:rsid w:val="00FC1065"/>
    <w:rsid w:val="00FC11A5"/>
    <w:rsid w:val="00FC1255"/>
    <w:rsid w:val="00FC12F3"/>
    <w:rsid w:val="00FC13AF"/>
    <w:rsid w:val="00FC143E"/>
    <w:rsid w:val="00FC167F"/>
    <w:rsid w:val="00FC174E"/>
    <w:rsid w:val="00FC17CF"/>
    <w:rsid w:val="00FC185D"/>
    <w:rsid w:val="00FC1E3E"/>
    <w:rsid w:val="00FC1E85"/>
    <w:rsid w:val="00FC230A"/>
    <w:rsid w:val="00FC2675"/>
    <w:rsid w:val="00FC29E7"/>
    <w:rsid w:val="00FC2A57"/>
    <w:rsid w:val="00FC2D39"/>
    <w:rsid w:val="00FC3D39"/>
    <w:rsid w:val="00FC3E98"/>
    <w:rsid w:val="00FC405A"/>
    <w:rsid w:val="00FC40B6"/>
    <w:rsid w:val="00FC4490"/>
    <w:rsid w:val="00FC4B0B"/>
    <w:rsid w:val="00FC4C79"/>
    <w:rsid w:val="00FC50C4"/>
    <w:rsid w:val="00FC5112"/>
    <w:rsid w:val="00FC514B"/>
    <w:rsid w:val="00FC55C2"/>
    <w:rsid w:val="00FC5867"/>
    <w:rsid w:val="00FC5B01"/>
    <w:rsid w:val="00FC5DE6"/>
    <w:rsid w:val="00FC6054"/>
    <w:rsid w:val="00FC6450"/>
    <w:rsid w:val="00FC6984"/>
    <w:rsid w:val="00FC6DD8"/>
    <w:rsid w:val="00FC7189"/>
    <w:rsid w:val="00FC7272"/>
    <w:rsid w:val="00FC72B7"/>
    <w:rsid w:val="00FC74ED"/>
    <w:rsid w:val="00FC75BE"/>
    <w:rsid w:val="00FC7BA1"/>
    <w:rsid w:val="00FD03D9"/>
    <w:rsid w:val="00FD054C"/>
    <w:rsid w:val="00FD05C0"/>
    <w:rsid w:val="00FD1D19"/>
    <w:rsid w:val="00FD1D97"/>
    <w:rsid w:val="00FD200E"/>
    <w:rsid w:val="00FD2049"/>
    <w:rsid w:val="00FD2A86"/>
    <w:rsid w:val="00FD2EF9"/>
    <w:rsid w:val="00FD34E9"/>
    <w:rsid w:val="00FD35F1"/>
    <w:rsid w:val="00FD38B8"/>
    <w:rsid w:val="00FD3912"/>
    <w:rsid w:val="00FD3F54"/>
    <w:rsid w:val="00FD4755"/>
    <w:rsid w:val="00FD4C78"/>
    <w:rsid w:val="00FD4CB2"/>
    <w:rsid w:val="00FD4CE2"/>
    <w:rsid w:val="00FD4E21"/>
    <w:rsid w:val="00FD532E"/>
    <w:rsid w:val="00FD53BF"/>
    <w:rsid w:val="00FD5611"/>
    <w:rsid w:val="00FD592E"/>
    <w:rsid w:val="00FD59D3"/>
    <w:rsid w:val="00FD5BC9"/>
    <w:rsid w:val="00FD5F58"/>
    <w:rsid w:val="00FD61B7"/>
    <w:rsid w:val="00FD6266"/>
    <w:rsid w:val="00FD6355"/>
    <w:rsid w:val="00FD6669"/>
    <w:rsid w:val="00FD6765"/>
    <w:rsid w:val="00FD6846"/>
    <w:rsid w:val="00FD6F53"/>
    <w:rsid w:val="00FD6FE0"/>
    <w:rsid w:val="00FD7410"/>
    <w:rsid w:val="00FD7798"/>
    <w:rsid w:val="00FD7897"/>
    <w:rsid w:val="00FD7F02"/>
    <w:rsid w:val="00FE0769"/>
    <w:rsid w:val="00FE139E"/>
    <w:rsid w:val="00FE153B"/>
    <w:rsid w:val="00FE1725"/>
    <w:rsid w:val="00FE1A3C"/>
    <w:rsid w:val="00FE1D3E"/>
    <w:rsid w:val="00FE1DEF"/>
    <w:rsid w:val="00FE208B"/>
    <w:rsid w:val="00FE21C9"/>
    <w:rsid w:val="00FE2B37"/>
    <w:rsid w:val="00FE2F36"/>
    <w:rsid w:val="00FE34D2"/>
    <w:rsid w:val="00FE354C"/>
    <w:rsid w:val="00FE3745"/>
    <w:rsid w:val="00FE3F40"/>
    <w:rsid w:val="00FE414F"/>
    <w:rsid w:val="00FE45A8"/>
    <w:rsid w:val="00FE4764"/>
    <w:rsid w:val="00FE4D2B"/>
    <w:rsid w:val="00FE4F07"/>
    <w:rsid w:val="00FE4FB3"/>
    <w:rsid w:val="00FE5068"/>
    <w:rsid w:val="00FE52F3"/>
    <w:rsid w:val="00FE55E2"/>
    <w:rsid w:val="00FE5601"/>
    <w:rsid w:val="00FE56AF"/>
    <w:rsid w:val="00FE59DD"/>
    <w:rsid w:val="00FE5A70"/>
    <w:rsid w:val="00FE5B68"/>
    <w:rsid w:val="00FE5C64"/>
    <w:rsid w:val="00FE5CB2"/>
    <w:rsid w:val="00FE66BC"/>
    <w:rsid w:val="00FE6F84"/>
    <w:rsid w:val="00FE7008"/>
    <w:rsid w:val="00FE7015"/>
    <w:rsid w:val="00FE7EC6"/>
    <w:rsid w:val="00FE7ED6"/>
    <w:rsid w:val="00FF07C2"/>
    <w:rsid w:val="00FF07D6"/>
    <w:rsid w:val="00FF0832"/>
    <w:rsid w:val="00FF0950"/>
    <w:rsid w:val="00FF0A74"/>
    <w:rsid w:val="00FF0AEF"/>
    <w:rsid w:val="00FF1B4E"/>
    <w:rsid w:val="00FF1C32"/>
    <w:rsid w:val="00FF1FBE"/>
    <w:rsid w:val="00FF20A3"/>
    <w:rsid w:val="00FF23C6"/>
    <w:rsid w:val="00FF2AB8"/>
    <w:rsid w:val="00FF320D"/>
    <w:rsid w:val="00FF3488"/>
    <w:rsid w:val="00FF34CA"/>
    <w:rsid w:val="00FF3549"/>
    <w:rsid w:val="00FF36CF"/>
    <w:rsid w:val="00FF3CF9"/>
    <w:rsid w:val="00FF417B"/>
    <w:rsid w:val="00FF439A"/>
    <w:rsid w:val="00FF4596"/>
    <w:rsid w:val="00FF4610"/>
    <w:rsid w:val="00FF4B40"/>
    <w:rsid w:val="00FF4FBD"/>
    <w:rsid w:val="00FF53E4"/>
    <w:rsid w:val="00FF58E3"/>
    <w:rsid w:val="00FF5A68"/>
    <w:rsid w:val="00FF5B11"/>
    <w:rsid w:val="00FF5E54"/>
    <w:rsid w:val="00FF6304"/>
    <w:rsid w:val="00FF6443"/>
    <w:rsid w:val="00FF657F"/>
    <w:rsid w:val="00FF65AC"/>
    <w:rsid w:val="00FF66A8"/>
    <w:rsid w:val="00FF67DF"/>
    <w:rsid w:val="00FF6812"/>
    <w:rsid w:val="00FF6940"/>
    <w:rsid w:val="00FF6D2A"/>
    <w:rsid w:val="00FF728E"/>
    <w:rsid w:val="00FF7369"/>
    <w:rsid w:val="00FF73F3"/>
    <w:rsid w:val="00FF743C"/>
    <w:rsid w:val="00FF7984"/>
    <w:rsid w:val="00FF7D36"/>
    <w:rsid w:val="3B996622"/>
    <w:rsid w:val="6E312399"/>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8"/>
    <w:qFormat/>
    <w:uiPriority w:val="99"/>
    <w:pPr>
      <w:keepNext/>
      <w:keepLines/>
      <w:spacing w:before="100" w:beforeAutospacing="1" w:after="100" w:afterAutospacing="1" w:line="440" w:lineRule="exact"/>
      <w:jc w:val="center"/>
      <w:outlineLvl w:val="0"/>
    </w:pPr>
    <w:rPr>
      <w:rFonts w:ascii="Times New Roman" w:hAnsi="Times New Roman" w:cs="Times New Roman"/>
      <w:b/>
      <w:bCs/>
      <w:kern w:val="44"/>
      <w:sz w:val="24"/>
      <w:szCs w:val="24"/>
    </w:rPr>
  </w:style>
  <w:style w:type="paragraph" w:styleId="3">
    <w:name w:val="heading 2"/>
    <w:basedOn w:val="1"/>
    <w:next w:val="1"/>
    <w:link w:val="29"/>
    <w:qFormat/>
    <w:uiPriority w:val="99"/>
    <w:pPr>
      <w:keepNext/>
      <w:keepLines/>
      <w:spacing w:before="100" w:beforeAutospacing="1" w:after="100" w:afterAutospacing="1" w:line="440" w:lineRule="exact"/>
      <w:jc w:val="center"/>
      <w:outlineLvl w:val="1"/>
    </w:pPr>
    <w:rPr>
      <w:rFonts w:ascii="Arial" w:hAnsi="Arial" w:cs="Times New Roman"/>
      <w:b/>
      <w:bCs/>
      <w:kern w:val="0"/>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50"/>
    <w:semiHidden/>
    <w:qFormat/>
    <w:uiPriority w:val="99"/>
    <w:pPr>
      <w:shd w:val="clear" w:color="auto" w:fill="000080"/>
    </w:pPr>
    <w:rPr>
      <w:rFonts w:ascii="Times New Roman" w:hAnsi="Times New Roman" w:cs="Times New Roman"/>
      <w:kern w:val="0"/>
    </w:rPr>
  </w:style>
  <w:style w:type="paragraph" w:styleId="5">
    <w:name w:val="annotation text"/>
    <w:basedOn w:val="1"/>
    <w:link w:val="46"/>
    <w:semiHidden/>
    <w:qFormat/>
    <w:uiPriority w:val="99"/>
    <w:pPr>
      <w:jc w:val="left"/>
    </w:pPr>
    <w:rPr>
      <w:rFonts w:ascii="Times New Roman" w:hAnsi="Times New Roman" w:cs="Times New Roman"/>
      <w:kern w:val="0"/>
    </w:rPr>
  </w:style>
  <w:style w:type="paragraph" w:styleId="6">
    <w:name w:val="Body Text"/>
    <w:basedOn w:val="1"/>
    <w:link w:val="43"/>
    <w:qFormat/>
    <w:uiPriority w:val="99"/>
    <w:rPr>
      <w:rFonts w:ascii="Times New Roman" w:hAnsi="Times New Roman" w:cs="Times New Roman"/>
      <w:color w:val="FF0000"/>
      <w:kern w:val="0"/>
      <w:sz w:val="28"/>
      <w:szCs w:val="28"/>
    </w:rPr>
  </w:style>
  <w:style w:type="paragraph" w:styleId="7">
    <w:name w:val="Body Text Indent"/>
    <w:basedOn w:val="1"/>
    <w:link w:val="40"/>
    <w:qFormat/>
    <w:uiPriority w:val="99"/>
    <w:pPr>
      <w:ind w:firstLine="549" w:firstLineChars="200"/>
    </w:pPr>
    <w:rPr>
      <w:rFonts w:ascii="宋体" w:hAnsi="宋体" w:cs="Times New Roman"/>
      <w:kern w:val="0"/>
      <w:sz w:val="28"/>
      <w:szCs w:val="28"/>
    </w:rPr>
  </w:style>
  <w:style w:type="paragraph" w:styleId="8">
    <w:name w:val="toc 3"/>
    <w:basedOn w:val="1"/>
    <w:next w:val="1"/>
    <w:semiHidden/>
    <w:qFormat/>
    <w:uiPriority w:val="99"/>
    <w:pPr>
      <w:widowControl/>
      <w:spacing w:after="100" w:line="276" w:lineRule="auto"/>
      <w:ind w:left="440"/>
      <w:jc w:val="left"/>
    </w:pPr>
    <w:rPr>
      <w:rFonts w:cs="Times New Roman"/>
      <w:kern w:val="0"/>
      <w:sz w:val="22"/>
      <w:szCs w:val="22"/>
    </w:rPr>
  </w:style>
  <w:style w:type="paragraph" w:styleId="9">
    <w:name w:val="Plain Text"/>
    <w:basedOn w:val="1"/>
    <w:link w:val="41"/>
    <w:qFormat/>
    <w:uiPriority w:val="99"/>
    <w:rPr>
      <w:rFonts w:ascii="宋体" w:hAnsi="Courier New" w:eastAsia="仿宋_GB2312" w:cs="Times New Roman"/>
      <w:kern w:val="0"/>
      <w:lang w:eastAsia="zh-TW"/>
    </w:rPr>
  </w:style>
  <w:style w:type="paragraph" w:styleId="10">
    <w:name w:val="Date"/>
    <w:basedOn w:val="1"/>
    <w:next w:val="1"/>
    <w:link w:val="49"/>
    <w:qFormat/>
    <w:uiPriority w:val="99"/>
    <w:pPr>
      <w:ind w:left="100" w:leftChars="2500"/>
    </w:pPr>
    <w:rPr>
      <w:rFonts w:ascii="Times New Roman" w:hAnsi="Times New Roman" w:cs="Times New Roman"/>
      <w:kern w:val="0"/>
    </w:rPr>
  </w:style>
  <w:style w:type="paragraph" w:styleId="11">
    <w:name w:val="Body Text Indent 2"/>
    <w:basedOn w:val="1"/>
    <w:link w:val="42"/>
    <w:qFormat/>
    <w:uiPriority w:val="99"/>
    <w:pPr>
      <w:spacing w:line="480" w:lineRule="exact"/>
      <w:ind w:firstLine="480" w:firstLineChars="200"/>
    </w:pPr>
    <w:rPr>
      <w:rFonts w:ascii="宋体" w:hAnsi="宋体" w:cs="Times New Roman"/>
      <w:color w:val="000000"/>
      <w:kern w:val="0"/>
      <w:sz w:val="24"/>
      <w:szCs w:val="24"/>
    </w:rPr>
  </w:style>
  <w:style w:type="paragraph" w:styleId="12">
    <w:name w:val="Balloon Text"/>
    <w:basedOn w:val="1"/>
    <w:link w:val="30"/>
    <w:semiHidden/>
    <w:qFormat/>
    <w:uiPriority w:val="99"/>
    <w:rPr>
      <w:rFonts w:ascii="Times New Roman" w:hAnsi="Times New Roman" w:cs="Times New Roman"/>
      <w:kern w:val="0"/>
      <w:sz w:val="18"/>
      <w:szCs w:val="18"/>
    </w:rPr>
  </w:style>
  <w:style w:type="paragraph" w:styleId="13">
    <w:name w:val="footer"/>
    <w:basedOn w:val="1"/>
    <w:link w:val="32"/>
    <w:qFormat/>
    <w:uiPriority w:val="99"/>
    <w:pPr>
      <w:tabs>
        <w:tab w:val="center" w:pos="4153"/>
        <w:tab w:val="right" w:pos="8306"/>
      </w:tabs>
      <w:snapToGrid w:val="0"/>
      <w:jc w:val="left"/>
    </w:pPr>
    <w:rPr>
      <w:rFonts w:cs="Times New Roman"/>
      <w:kern w:val="0"/>
      <w:sz w:val="18"/>
      <w:szCs w:val="18"/>
    </w:rPr>
  </w:style>
  <w:style w:type="paragraph" w:styleId="14">
    <w:name w:val="header"/>
    <w:basedOn w:val="1"/>
    <w:link w:val="3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5">
    <w:name w:val="toc 1"/>
    <w:basedOn w:val="1"/>
    <w:next w:val="1"/>
    <w:qFormat/>
    <w:uiPriority w:val="39"/>
    <w:pPr>
      <w:tabs>
        <w:tab w:val="left" w:pos="1410"/>
        <w:tab w:val="right" w:leader="dot" w:pos="8296"/>
      </w:tabs>
      <w:spacing w:line="360" w:lineRule="auto"/>
    </w:pPr>
    <w:rPr>
      <w:rFonts w:ascii="宋体" w:hAnsi="宋体" w:cs="楷体_GB2312"/>
      <w:bCs/>
      <w:sz w:val="24"/>
      <w:szCs w:val="24"/>
    </w:rPr>
  </w:style>
  <w:style w:type="paragraph" w:styleId="16">
    <w:name w:val="Body Text Indent 3"/>
    <w:basedOn w:val="1"/>
    <w:link w:val="44"/>
    <w:qFormat/>
    <w:uiPriority w:val="99"/>
    <w:pPr>
      <w:spacing w:line="440" w:lineRule="exact"/>
      <w:ind w:firstLine="480"/>
    </w:pPr>
    <w:rPr>
      <w:rFonts w:ascii="Times New Roman" w:hAnsi="Times New Roman" w:cs="Times New Roman"/>
      <w:color w:val="FF0000"/>
      <w:kern w:val="0"/>
      <w:sz w:val="24"/>
      <w:szCs w:val="24"/>
      <w:u w:val="single"/>
    </w:rPr>
  </w:style>
  <w:style w:type="paragraph" w:styleId="17">
    <w:name w:val="toc 2"/>
    <w:basedOn w:val="1"/>
    <w:next w:val="1"/>
    <w:qFormat/>
    <w:uiPriority w:val="39"/>
    <w:pPr>
      <w:tabs>
        <w:tab w:val="right" w:leader="dot" w:pos="8296"/>
      </w:tabs>
      <w:ind w:left="420" w:leftChars="200"/>
    </w:pPr>
    <w:rPr>
      <w:rFonts w:cs="宋体" w:asciiTheme="minorEastAsia" w:hAnsiTheme="minorEastAsia" w:eastAsiaTheme="minorEastAsia"/>
    </w:rPr>
  </w:style>
  <w:style w:type="paragraph" w:styleId="18">
    <w:name w:val="Body Text 2"/>
    <w:basedOn w:val="1"/>
    <w:link w:val="45"/>
    <w:qFormat/>
    <w:uiPriority w:val="99"/>
    <w:pPr>
      <w:spacing w:line="480" w:lineRule="exact"/>
    </w:pPr>
    <w:rPr>
      <w:rFonts w:ascii="宋体" w:hAnsi="宋体" w:cs="Times New Roman"/>
      <w:kern w:val="0"/>
      <w:sz w:val="24"/>
      <w:szCs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5"/>
    <w:next w:val="5"/>
    <w:link w:val="47"/>
    <w:semiHidden/>
    <w:qFormat/>
    <w:uiPriority w:val="99"/>
    <w:rPr>
      <w:b/>
      <w:bCs/>
    </w:rPr>
  </w:style>
  <w:style w:type="table" w:styleId="22">
    <w:name w:val="Table Grid"/>
    <w:basedOn w:val="2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99"/>
    <w:rPr>
      <w:rFonts w:cs="Times New Roman"/>
    </w:rPr>
  </w:style>
  <w:style w:type="character" w:styleId="26">
    <w:name w:val="Hyperlink"/>
    <w:qFormat/>
    <w:uiPriority w:val="99"/>
    <w:rPr>
      <w:rFonts w:cs="Times New Roman"/>
      <w:color w:val="0000FF"/>
      <w:u w:val="single"/>
    </w:rPr>
  </w:style>
  <w:style w:type="character" w:styleId="27">
    <w:name w:val="annotation reference"/>
    <w:semiHidden/>
    <w:qFormat/>
    <w:uiPriority w:val="99"/>
    <w:rPr>
      <w:rFonts w:cs="Times New Roman"/>
      <w:sz w:val="21"/>
    </w:rPr>
  </w:style>
  <w:style w:type="character" w:customStyle="1" w:styleId="28">
    <w:name w:val="标题 1字符"/>
    <w:link w:val="2"/>
    <w:qFormat/>
    <w:locked/>
    <w:uiPriority w:val="99"/>
    <w:rPr>
      <w:rFonts w:ascii="Times New Roman" w:hAnsi="Times New Roman" w:eastAsia="宋体" w:cs="Times New Roman"/>
      <w:b/>
      <w:bCs/>
      <w:kern w:val="44"/>
      <w:sz w:val="24"/>
      <w:szCs w:val="24"/>
    </w:rPr>
  </w:style>
  <w:style w:type="character" w:customStyle="1" w:styleId="29">
    <w:name w:val="标题 2字符"/>
    <w:link w:val="3"/>
    <w:qFormat/>
    <w:locked/>
    <w:uiPriority w:val="99"/>
    <w:rPr>
      <w:rFonts w:ascii="Arial" w:hAnsi="Arial" w:eastAsia="宋体" w:cs="Times New Roman"/>
      <w:b/>
      <w:bCs/>
      <w:kern w:val="0"/>
      <w:sz w:val="24"/>
      <w:szCs w:val="24"/>
    </w:rPr>
  </w:style>
  <w:style w:type="character" w:customStyle="1" w:styleId="30">
    <w:name w:val="批注框文本字符"/>
    <w:link w:val="12"/>
    <w:semiHidden/>
    <w:qFormat/>
    <w:locked/>
    <w:uiPriority w:val="99"/>
    <w:rPr>
      <w:rFonts w:ascii="Times New Roman" w:hAnsi="Times New Roman" w:eastAsia="宋体" w:cs="Times New Roman"/>
      <w:kern w:val="0"/>
      <w:sz w:val="18"/>
      <w:szCs w:val="18"/>
    </w:rPr>
  </w:style>
  <w:style w:type="character" w:customStyle="1" w:styleId="31">
    <w:name w:val="页眉字符"/>
    <w:link w:val="14"/>
    <w:qFormat/>
    <w:locked/>
    <w:uiPriority w:val="99"/>
    <w:rPr>
      <w:rFonts w:ascii="Calibri" w:hAnsi="Calibri" w:eastAsia="宋体" w:cs="Times New Roman"/>
      <w:kern w:val="0"/>
      <w:sz w:val="18"/>
      <w:szCs w:val="18"/>
    </w:rPr>
  </w:style>
  <w:style w:type="character" w:customStyle="1" w:styleId="32">
    <w:name w:val="页脚字符"/>
    <w:link w:val="13"/>
    <w:qFormat/>
    <w:locked/>
    <w:uiPriority w:val="99"/>
    <w:rPr>
      <w:rFonts w:ascii="Calibri" w:hAnsi="Calibri" w:eastAsia="宋体" w:cs="Times New Roman"/>
      <w:kern w:val="0"/>
      <w:sz w:val="18"/>
      <w:szCs w:val="18"/>
    </w:rPr>
  </w:style>
  <w:style w:type="paragraph" w:customStyle="1" w:styleId="33">
    <w:name w:val="样式2"/>
    <w:basedOn w:val="1"/>
    <w:qFormat/>
    <w:uiPriority w:val="99"/>
    <w:pPr>
      <w:spacing w:line="440" w:lineRule="exact"/>
      <w:jc w:val="center"/>
    </w:pPr>
    <w:rPr>
      <w:rFonts w:ascii="Times New Roman" w:hAnsi="Times New Roman" w:cs="Times New Roman"/>
      <w:b/>
      <w:bCs/>
      <w:kern w:val="20"/>
      <w:sz w:val="24"/>
      <w:szCs w:val="24"/>
    </w:rPr>
  </w:style>
  <w:style w:type="paragraph" w:customStyle="1" w:styleId="34">
    <w:name w:val="样式3"/>
    <w:basedOn w:val="2"/>
    <w:qFormat/>
    <w:uiPriority w:val="99"/>
  </w:style>
  <w:style w:type="paragraph" w:customStyle="1" w:styleId="35">
    <w:name w:val="样式8"/>
    <w:basedOn w:val="33"/>
    <w:qFormat/>
    <w:uiPriority w:val="99"/>
    <w:rPr>
      <w:b w:val="0"/>
      <w:bCs w:val="0"/>
    </w:rPr>
  </w:style>
  <w:style w:type="paragraph" w:customStyle="1" w:styleId="36">
    <w:name w:val="样式5"/>
    <w:basedOn w:val="37"/>
    <w:qFormat/>
    <w:uiPriority w:val="99"/>
  </w:style>
  <w:style w:type="paragraph" w:customStyle="1" w:styleId="37">
    <w:name w:val="样式4"/>
    <w:basedOn w:val="34"/>
    <w:qFormat/>
    <w:uiPriority w:val="99"/>
    <w:pPr>
      <w:keepNext w:val="0"/>
      <w:keepLines w:val="0"/>
      <w:spacing w:before="0" w:after="0"/>
      <w:outlineLvl w:val="9"/>
    </w:pPr>
    <w:rPr>
      <w:kern w:val="20"/>
    </w:rPr>
  </w:style>
  <w:style w:type="paragraph" w:customStyle="1" w:styleId="38">
    <w:name w:val="样式6"/>
    <w:basedOn w:val="36"/>
    <w:qFormat/>
    <w:uiPriority w:val="99"/>
  </w:style>
  <w:style w:type="paragraph" w:customStyle="1" w:styleId="39">
    <w:name w:val="样式1"/>
    <w:basedOn w:val="1"/>
    <w:qFormat/>
    <w:uiPriority w:val="99"/>
    <w:pPr>
      <w:spacing w:line="440" w:lineRule="exact"/>
    </w:pPr>
    <w:rPr>
      <w:rFonts w:ascii="宋体" w:hAnsi="宋体" w:cs="宋体"/>
      <w:b/>
      <w:bCs/>
      <w:sz w:val="24"/>
      <w:szCs w:val="24"/>
    </w:rPr>
  </w:style>
  <w:style w:type="character" w:customStyle="1" w:styleId="40">
    <w:name w:val="正文文本缩进字符"/>
    <w:link w:val="7"/>
    <w:qFormat/>
    <w:locked/>
    <w:uiPriority w:val="99"/>
    <w:rPr>
      <w:rFonts w:ascii="宋体" w:hAnsi="宋体" w:eastAsia="宋体" w:cs="Times New Roman"/>
      <w:kern w:val="0"/>
      <w:sz w:val="28"/>
      <w:szCs w:val="28"/>
    </w:rPr>
  </w:style>
  <w:style w:type="character" w:customStyle="1" w:styleId="41">
    <w:name w:val="纯文本字符"/>
    <w:link w:val="9"/>
    <w:qFormat/>
    <w:locked/>
    <w:uiPriority w:val="99"/>
    <w:rPr>
      <w:rFonts w:ascii="宋体" w:hAnsi="Courier New" w:eastAsia="仿宋_GB2312" w:cs="Times New Roman"/>
      <w:kern w:val="0"/>
      <w:sz w:val="21"/>
      <w:szCs w:val="21"/>
      <w:lang w:eastAsia="zh-TW"/>
    </w:rPr>
  </w:style>
  <w:style w:type="character" w:customStyle="1" w:styleId="42">
    <w:name w:val="正文文本缩进 2字符"/>
    <w:link w:val="11"/>
    <w:qFormat/>
    <w:locked/>
    <w:uiPriority w:val="99"/>
    <w:rPr>
      <w:rFonts w:ascii="宋体" w:hAnsi="宋体" w:eastAsia="宋体" w:cs="Times New Roman"/>
      <w:color w:val="000000"/>
      <w:kern w:val="0"/>
      <w:sz w:val="24"/>
      <w:szCs w:val="24"/>
    </w:rPr>
  </w:style>
  <w:style w:type="character" w:customStyle="1" w:styleId="43">
    <w:name w:val="正文文本字符"/>
    <w:link w:val="6"/>
    <w:qFormat/>
    <w:locked/>
    <w:uiPriority w:val="99"/>
    <w:rPr>
      <w:rFonts w:ascii="Times New Roman" w:hAnsi="Times New Roman" w:eastAsia="宋体" w:cs="Times New Roman"/>
      <w:color w:val="FF0000"/>
      <w:kern w:val="0"/>
      <w:sz w:val="28"/>
      <w:szCs w:val="28"/>
    </w:rPr>
  </w:style>
  <w:style w:type="character" w:customStyle="1" w:styleId="44">
    <w:name w:val="正文文本缩进 3字符"/>
    <w:link w:val="16"/>
    <w:qFormat/>
    <w:locked/>
    <w:uiPriority w:val="99"/>
    <w:rPr>
      <w:rFonts w:ascii="Times New Roman" w:hAnsi="Times New Roman" w:eastAsia="宋体" w:cs="Times New Roman"/>
      <w:color w:val="FF0000"/>
      <w:kern w:val="0"/>
      <w:sz w:val="24"/>
      <w:szCs w:val="24"/>
      <w:u w:val="single"/>
    </w:rPr>
  </w:style>
  <w:style w:type="character" w:customStyle="1" w:styleId="45">
    <w:name w:val="正文文本 2字符"/>
    <w:link w:val="18"/>
    <w:qFormat/>
    <w:locked/>
    <w:uiPriority w:val="99"/>
    <w:rPr>
      <w:rFonts w:ascii="宋体" w:hAnsi="宋体" w:eastAsia="宋体" w:cs="Times New Roman"/>
      <w:kern w:val="0"/>
      <w:sz w:val="24"/>
      <w:szCs w:val="24"/>
    </w:rPr>
  </w:style>
  <w:style w:type="character" w:customStyle="1" w:styleId="46">
    <w:name w:val="批注文字字符"/>
    <w:link w:val="5"/>
    <w:semiHidden/>
    <w:qFormat/>
    <w:locked/>
    <w:uiPriority w:val="99"/>
    <w:rPr>
      <w:rFonts w:ascii="Times New Roman" w:hAnsi="Times New Roman" w:eastAsia="宋体" w:cs="Times New Roman"/>
      <w:kern w:val="0"/>
      <w:sz w:val="21"/>
      <w:szCs w:val="21"/>
    </w:rPr>
  </w:style>
  <w:style w:type="character" w:customStyle="1" w:styleId="47">
    <w:name w:val="批注主题字符"/>
    <w:link w:val="20"/>
    <w:semiHidden/>
    <w:qFormat/>
    <w:locked/>
    <w:uiPriority w:val="99"/>
    <w:rPr>
      <w:rFonts w:ascii="Times New Roman" w:hAnsi="Times New Roman" w:eastAsia="宋体" w:cs="Times New Roman"/>
      <w:b/>
      <w:bCs/>
      <w:kern w:val="0"/>
      <w:sz w:val="21"/>
      <w:szCs w:val="21"/>
    </w:rPr>
  </w:style>
  <w:style w:type="paragraph" w:customStyle="1" w:styleId="48">
    <w:name w:val="Char"/>
    <w:basedOn w:val="1"/>
    <w:qFormat/>
    <w:uiPriority w:val="99"/>
    <w:pPr>
      <w:widowControl/>
      <w:spacing w:after="160" w:line="240" w:lineRule="exact"/>
    </w:pPr>
    <w:rPr>
      <w:rFonts w:ascii="Verdana" w:hAnsi="Verdana" w:cs="Verdana"/>
      <w:kern w:val="0"/>
      <w:sz w:val="22"/>
      <w:szCs w:val="22"/>
      <w:lang w:eastAsia="en-US"/>
    </w:rPr>
  </w:style>
  <w:style w:type="character" w:customStyle="1" w:styleId="49">
    <w:name w:val="日期字符"/>
    <w:link w:val="10"/>
    <w:qFormat/>
    <w:locked/>
    <w:uiPriority w:val="99"/>
    <w:rPr>
      <w:rFonts w:ascii="Times New Roman" w:hAnsi="Times New Roman" w:eastAsia="宋体" w:cs="Times New Roman"/>
      <w:kern w:val="0"/>
      <w:sz w:val="21"/>
      <w:szCs w:val="21"/>
    </w:rPr>
  </w:style>
  <w:style w:type="character" w:customStyle="1" w:styleId="50">
    <w:name w:val="文档结构图字符"/>
    <w:link w:val="4"/>
    <w:semiHidden/>
    <w:qFormat/>
    <w:locked/>
    <w:uiPriority w:val="99"/>
    <w:rPr>
      <w:rFonts w:ascii="Times New Roman" w:hAnsi="Times New Roman" w:eastAsia="宋体" w:cs="Times New Roman"/>
      <w:kern w:val="0"/>
      <w:sz w:val="21"/>
      <w:szCs w:val="21"/>
      <w:shd w:val="clear" w:color="auto" w:fill="000080"/>
    </w:rPr>
  </w:style>
  <w:style w:type="character" w:customStyle="1" w:styleId="51">
    <w:name w:val="da"/>
    <w:qFormat/>
    <w:uiPriority w:val="99"/>
  </w:style>
  <w:style w:type="character" w:customStyle="1" w:styleId="52">
    <w:name w:val="apple-style-span"/>
    <w:qFormat/>
    <w:uiPriority w:val="99"/>
  </w:style>
  <w:style w:type="paragraph" w:customStyle="1" w:styleId="53">
    <w:name w:val="TOC 标题1"/>
    <w:basedOn w:val="2"/>
    <w:next w:val="1"/>
    <w:qFormat/>
    <w:uiPriority w:val="99"/>
    <w:pPr>
      <w:widowControl/>
      <w:spacing w:before="480" w:beforeAutospacing="0" w:after="0" w:afterAutospacing="0" w:line="276" w:lineRule="auto"/>
      <w:jc w:val="left"/>
      <w:outlineLvl w:val="9"/>
    </w:pPr>
    <w:rPr>
      <w:rFonts w:ascii="Cambria" w:hAnsi="Cambria" w:cs="Cambria"/>
      <w:color w:val="365F91"/>
      <w:kern w:val="0"/>
      <w:sz w:val="28"/>
      <w:szCs w:val="28"/>
    </w:rPr>
  </w:style>
  <w:style w:type="paragraph" w:customStyle="1" w:styleId="54">
    <w:name w:val="列出段落1"/>
    <w:basedOn w:val="1"/>
    <w:qFormat/>
    <w:uiPriority w:val="99"/>
    <w:pPr>
      <w:ind w:firstLine="420" w:firstLineChars="200"/>
    </w:pPr>
  </w:style>
  <w:style w:type="paragraph" w:customStyle="1" w:styleId="5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6">
    <w:name w:val="List Paragraph"/>
    <w:basedOn w:val="1"/>
    <w:qFormat/>
    <w:uiPriority w:val="99"/>
    <w:pPr>
      <w:ind w:firstLine="420" w:firstLineChars="200"/>
    </w:pPr>
  </w:style>
  <w:style w:type="paragraph" w:customStyle="1" w:styleId="57">
    <w:name w:val="TOC Heading"/>
    <w:basedOn w:val="2"/>
    <w:next w:val="1"/>
    <w:qFormat/>
    <w:uiPriority w:val="99"/>
    <w:pPr>
      <w:widowControl/>
      <w:spacing w:before="480" w:beforeAutospacing="0" w:after="0" w:afterAutospacing="0" w:line="276" w:lineRule="auto"/>
      <w:jc w:val="left"/>
      <w:outlineLvl w:val="9"/>
    </w:pPr>
    <w:rPr>
      <w:rFonts w:ascii="Cambria" w:hAnsi="Cambria"/>
      <w:color w:val="365F91"/>
      <w:kern w:val="0"/>
      <w:sz w:val="28"/>
      <w:szCs w:val="28"/>
    </w:rPr>
  </w:style>
  <w:style w:type="paragraph" w:customStyle="1" w:styleId="58">
    <w:name w:val="15"/>
    <w:basedOn w:val="1"/>
    <w:qFormat/>
    <w:uiPriority w:val="99"/>
    <w:pPr>
      <w:widowControl/>
      <w:jc w:val="left"/>
    </w:pPr>
    <w:rPr>
      <w:rFonts w:ascii="宋体" w:hAnsi="宋体" w:cs="宋体"/>
      <w:kern w:val="0"/>
      <w:sz w:val="24"/>
      <w:szCs w:val="24"/>
    </w:rPr>
  </w:style>
  <w:style w:type="paragraph" w:customStyle="1" w:styleId="59">
    <w:name w:val="TOC 标题2"/>
    <w:basedOn w:val="2"/>
    <w:next w:val="1"/>
    <w:qFormat/>
    <w:uiPriority w:val="99"/>
    <w:pPr>
      <w:widowControl/>
      <w:spacing w:before="480" w:beforeAutospacing="0" w:after="0" w:afterAutospacing="0" w:line="276" w:lineRule="auto"/>
      <w:jc w:val="left"/>
      <w:outlineLvl w:val="9"/>
    </w:pPr>
    <w:rPr>
      <w:rFonts w:ascii="Cambria" w:hAnsi="Cambria" w:cs="Cambria"/>
      <w:color w:val="365F91"/>
      <w:kern w:val="0"/>
      <w:sz w:val="28"/>
      <w:szCs w:val="28"/>
    </w:rPr>
  </w:style>
  <w:style w:type="paragraph" w:customStyle="1" w:styleId="60">
    <w:name w:val="列出段落2"/>
    <w:basedOn w:val="1"/>
    <w:qFormat/>
    <w:uiPriority w:val="99"/>
    <w:pPr>
      <w:ind w:firstLine="420" w:firstLineChars="200"/>
    </w:pPr>
  </w:style>
  <w:style w:type="paragraph" w:customStyle="1" w:styleId="61">
    <w:name w:val="CM47"/>
    <w:basedOn w:val="1"/>
    <w:next w:val="1"/>
    <w:qFormat/>
    <w:uiPriority w:val="99"/>
    <w:pPr>
      <w:autoSpaceDE w:val="0"/>
      <w:autoSpaceDN w:val="0"/>
      <w:adjustRightInd w:val="0"/>
      <w:spacing w:line="400" w:lineRule="atLeast"/>
      <w:jc w:val="left"/>
    </w:pPr>
    <w:rPr>
      <w:rFonts w:ascii="Times New Roman" w:hAnsi="Times New Roman" w:cs="Times New Roman"/>
      <w:kern w:val="0"/>
      <w:sz w:val="24"/>
      <w:szCs w:val="24"/>
    </w:rPr>
  </w:style>
  <w:style w:type="character" w:customStyle="1" w:styleId="62">
    <w:name w:val="银邦 正文 Char"/>
    <w:basedOn w:val="23"/>
    <w:link w:val="63"/>
    <w:qFormat/>
    <w:locked/>
    <w:uiPriority w:val="99"/>
    <w:rPr>
      <w:rFonts w:ascii="宋体" w:hAnsi="宋体"/>
      <w:bCs/>
      <w:sz w:val="24"/>
      <w:szCs w:val="24"/>
    </w:rPr>
  </w:style>
  <w:style w:type="paragraph" w:customStyle="1" w:styleId="63">
    <w:name w:val="银邦 正文"/>
    <w:basedOn w:val="1"/>
    <w:link w:val="62"/>
    <w:qFormat/>
    <w:uiPriority w:val="99"/>
    <w:pPr>
      <w:spacing w:beforeLines="50" w:line="360" w:lineRule="auto"/>
      <w:ind w:firstLine="200" w:firstLineChars="200"/>
    </w:pPr>
    <w:rPr>
      <w:rFonts w:ascii="宋体" w:hAnsi="宋体" w:cs="Times New Roman"/>
      <w:bCs/>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88D5-6FE5-BA46-BF6F-74211D9D352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20544</Words>
  <Characters>20659</Characters>
  <Lines>169</Lines>
  <Paragraphs>47</Paragraphs>
  <TotalTime>370</TotalTime>
  <ScaleCrop>false</ScaleCrop>
  <LinksUpToDate>false</LinksUpToDate>
  <CharactersWithSpaces>21281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2013-12-10T02:55:00Z</dcterms:created>
  <dc:creator>1</dc:creator>
  <cp:lastModifiedBy>cyy</cp:lastModifiedBy>
  <dcterms:modified xsi:type="dcterms:W3CDTF">2025-05-31T17:04:42Z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467F8666FC72452E84BD71282E88A725</vt:lpwstr>
  </property>
  <property fmtid="{D5CDD505-2E9C-101B-9397-08002B2CF9AE}" pid="4" name="KSOTemplateDocerSaveRecord">
    <vt:lpwstr>eyJoZGlkIjoiNmNlZTc1YzUzY2I3NGNjMGI1ZThjMGNjOGNlMmRjYzQiLCJ1c2VySWQiOiI0NDg4NjQzNzQifQ==</vt:lpwstr>
  </property>
</Properties>
</file>